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15497" w14:textId="77777777" w:rsidR="00017D16" w:rsidRDefault="00017D16" w:rsidP="003B2450">
      <w:pPr>
        <w:spacing w:after="0"/>
        <w:rPr>
          <w:b/>
        </w:rPr>
        <w:sectPr w:rsidR="00017D16" w:rsidSect="00475E9B">
          <w:headerReference w:type="default" r:id="rId11"/>
          <w:footerReference w:type="default" r:id="rId12"/>
          <w:headerReference w:type="first" r:id="rId13"/>
          <w:footerReference w:type="first" r:id="rId14"/>
          <w:pgSz w:w="12240" w:h="15840" w:code="1"/>
          <w:pgMar w:top="720" w:right="720" w:bottom="720" w:left="720" w:header="720" w:footer="720" w:gutter="0"/>
          <w:pgNumType w:fmt="lowerRoman" w:start="1"/>
          <w:cols w:space="720"/>
          <w:vAlign w:val="bottom"/>
          <w:titlePg/>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0"/>
        <w:gridCol w:w="5400"/>
      </w:tblGrid>
      <w:tr w:rsidR="00475E9B" w14:paraId="44984B4F" w14:textId="77777777" w:rsidTr="00354F7D">
        <w:trPr>
          <w:cantSplit/>
          <w:trHeight w:hRule="exact" w:val="1269"/>
        </w:trPr>
        <w:tc>
          <w:tcPr>
            <w:tcW w:w="10800" w:type="dxa"/>
            <w:gridSpan w:val="2"/>
          </w:tcPr>
          <w:p w14:paraId="05667D21" w14:textId="354A1FDB" w:rsidR="007F69D7" w:rsidRDefault="007F69D7" w:rsidP="009D3859">
            <w:pPr>
              <w:spacing w:after="0"/>
              <w:jc w:val="left"/>
              <w:rPr>
                <w:rFonts w:ascii="Merriweather" w:hAnsi="Merriweather" w:cs="Arial"/>
                <w:sz w:val="36"/>
                <w:szCs w:val="36"/>
              </w:rPr>
            </w:pPr>
            <w:r>
              <w:rPr>
                <w:rFonts w:ascii="Merriweather" w:hAnsi="Merriweather" w:cs="Arial"/>
                <w:noProof/>
                <w:sz w:val="36"/>
                <w:szCs w:val="36"/>
              </w:rPr>
              <w:drawing>
                <wp:anchor distT="0" distB="0" distL="114300" distR="114300" simplePos="0" relativeHeight="251658240" behindDoc="0" locked="0" layoutInCell="1" allowOverlap="1" wp14:anchorId="565CBA83" wp14:editId="60FD3AFA">
                  <wp:simplePos x="0" y="0"/>
                  <wp:positionH relativeFrom="column">
                    <wp:posOffset>4236720</wp:posOffset>
                  </wp:positionH>
                  <wp:positionV relativeFrom="paragraph">
                    <wp:posOffset>131341</wp:posOffset>
                  </wp:positionV>
                  <wp:extent cx="2600325" cy="581660"/>
                  <wp:effectExtent l="0" t="0" r="9525" b="8890"/>
                  <wp:wrapThrough wrapText="bothSides">
                    <wp:wrapPolygon edited="0">
                      <wp:start x="10127" y="0"/>
                      <wp:lineTo x="2690" y="0"/>
                      <wp:lineTo x="0" y="2830"/>
                      <wp:lineTo x="0" y="21223"/>
                      <wp:lineTo x="18514" y="21223"/>
                      <wp:lineTo x="21046" y="21223"/>
                      <wp:lineTo x="21521" y="5659"/>
                      <wp:lineTo x="21521" y="2830"/>
                      <wp:lineTo x="11235" y="0"/>
                      <wp:lineTo x="10127" y="0"/>
                    </wp:wrapPolygon>
                  </wp:wrapThrough>
                  <wp:docPr id="214635090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350904" name="Graphic 2146350904"/>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600325" cy="581660"/>
                          </a:xfrm>
                          <a:prstGeom prst="rect">
                            <a:avLst/>
                          </a:prstGeom>
                        </pic:spPr>
                      </pic:pic>
                    </a:graphicData>
                  </a:graphic>
                  <wp14:sizeRelH relativeFrom="page">
                    <wp14:pctWidth>0</wp14:pctWidth>
                  </wp14:sizeRelH>
                  <wp14:sizeRelV relativeFrom="page">
                    <wp14:pctHeight>0</wp14:pctHeight>
                  </wp14:sizeRelV>
                </wp:anchor>
              </w:drawing>
            </w:r>
          </w:p>
          <w:p w14:paraId="0CCC3741" w14:textId="48530DED" w:rsidR="009D3859" w:rsidRPr="00AA1D0D" w:rsidRDefault="009D3859" w:rsidP="009D3859">
            <w:pPr>
              <w:spacing w:after="0"/>
              <w:jc w:val="left"/>
              <w:rPr>
                <w:rFonts w:ascii="Merriweather" w:hAnsi="Merriweather" w:cs="Arial"/>
                <w:sz w:val="36"/>
                <w:szCs w:val="36"/>
              </w:rPr>
            </w:pPr>
            <w:r w:rsidRPr="00AA1D0D">
              <w:rPr>
                <w:rFonts w:ascii="Merriweather" w:hAnsi="Merriweather" w:cs="Arial"/>
                <w:sz w:val="36"/>
                <w:szCs w:val="36"/>
              </w:rPr>
              <w:t>Rates and Rules Filling</w:t>
            </w:r>
            <w:r w:rsidR="005D7378">
              <w:rPr>
                <w:rFonts w:ascii="Merriweather" w:hAnsi="Merriweather" w:cs="Arial"/>
                <w:sz w:val="36"/>
                <w:szCs w:val="36"/>
              </w:rPr>
              <w:t xml:space="preserve"> </w:t>
            </w:r>
          </w:p>
          <w:p w14:paraId="7F463CD2" w14:textId="01AE9484" w:rsidR="00475E9B" w:rsidRDefault="009D3859" w:rsidP="009D3859">
            <w:pPr>
              <w:spacing w:after="40"/>
              <w:jc w:val="left"/>
              <w:rPr>
                <w:b/>
              </w:rPr>
            </w:pPr>
            <w:r w:rsidRPr="009D3859">
              <w:rPr>
                <w:rFonts w:ascii="Merriweather" w:hAnsi="Merriweather" w:cs="Arial"/>
                <w:sz w:val="22"/>
              </w:rPr>
              <w:t>State of Wisconsin</w:t>
            </w:r>
          </w:p>
        </w:tc>
      </w:tr>
      <w:tr w:rsidR="00924919" w:rsidRPr="00924919" w14:paraId="5F02BD98" w14:textId="77777777" w:rsidTr="5C4D234D">
        <w:trPr>
          <w:cantSplit/>
          <w:trHeight w:hRule="exact" w:val="288"/>
        </w:trPr>
        <w:tc>
          <w:tcPr>
            <w:tcW w:w="10800" w:type="dxa"/>
            <w:gridSpan w:val="2"/>
            <w:shd w:val="clear" w:color="auto" w:fill="000000" w:themeFill="text1"/>
            <w:vAlign w:val="center"/>
          </w:tcPr>
          <w:p w14:paraId="218DFBD4" w14:textId="6EBE4850" w:rsidR="00475E9B" w:rsidRPr="00924919" w:rsidRDefault="00475E9B" w:rsidP="5C4D234D">
            <w:pPr>
              <w:spacing w:after="0"/>
              <w:ind w:left="72"/>
              <w:jc w:val="left"/>
              <w:rPr>
                <w:rFonts w:ascii="Arial" w:hAnsi="Arial" w:cs="Arial"/>
                <w:b/>
                <w:bCs/>
                <w:color w:val="FFFFFF" w:themeColor="background1"/>
                <w:sz w:val="18"/>
                <w:szCs w:val="18"/>
              </w:rPr>
            </w:pPr>
            <w:r w:rsidRPr="5C4D234D">
              <w:rPr>
                <w:rFonts w:ascii="Arial" w:hAnsi="Arial" w:cs="Arial"/>
                <w:b/>
                <w:bCs/>
                <w:color w:val="FFFFFF" w:themeColor="background1"/>
                <w:sz w:val="18"/>
                <w:szCs w:val="18"/>
              </w:rPr>
              <w:t xml:space="preserve">Effective </w:t>
            </w:r>
            <w:r w:rsidR="7282347A" w:rsidRPr="5C4D234D">
              <w:rPr>
                <w:rFonts w:ascii="Arial" w:hAnsi="Arial" w:cs="Arial"/>
                <w:b/>
                <w:bCs/>
                <w:color w:val="FFFFFF" w:themeColor="background1"/>
                <w:sz w:val="18"/>
                <w:szCs w:val="18"/>
              </w:rPr>
              <w:t xml:space="preserve">July </w:t>
            </w:r>
            <w:r w:rsidR="00650C4F">
              <w:rPr>
                <w:rFonts w:ascii="Arial" w:hAnsi="Arial" w:cs="Arial"/>
                <w:b/>
                <w:bCs/>
                <w:color w:val="FFFFFF" w:themeColor="background1"/>
                <w:sz w:val="18"/>
                <w:szCs w:val="18"/>
              </w:rPr>
              <w:t>31</w:t>
            </w:r>
            <w:r w:rsidR="7282347A" w:rsidRPr="5C4D234D">
              <w:rPr>
                <w:rFonts w:ascii="Arial" w:hAnsi="Arial" w:cs="Arial"/>
                <w:b/>
                <w:bCs/>
                <w:color w:val="FFFFFF" w:themeColor="background1"/>
                <w:sz w:val="18"/>
                <w:szCs w:val="18"/>
              </w:rPr>
              <w:t>, 2023</w:t>
            </w:r>
          </w:p>
        </w:tc>
      </w:tr>
      <w:tr w:rsidR="00924919" w:rsidRPr="00475E9B" w14:paraId="35617AE6" w14:textId="77777777" w:rsidTr="5C4D234D">
        <w:trPr>
          <w:cantSplit/>
          <w:trHeight w:hRule="exact" w:val="10800"/>
        </w:trPr>
        <w:tc>
          <w:tcPr>
            <w:tcW w:w="10800" w:type="dxa"/>
            <w:gridSpan w:val="2"/>
          </w:tcPr>
          <w:p w14:paraId="2DB3AA6F" w14:textId="77777777" w:rsidR="007B6E9D" w:rsidRDefault="007B6E9D" w:rsidP="007B6E9D">
            <w:pPr>
              <w:rPr>
                <w:rFonts w:ascii="Arial" w:hAnsi="Arial" w:cs="Arial"/>
                <w:sz w:val="18"/>
                <w:szCs w:val="20"/>
              </w:rPr>
            </w:pPr>
          </w:p>
          <w:p w14:paraId="2CC75C5A" w14:textId="77777777" w:rsidR="0028332E" w:rsidRDefault="0028332E" w:rsidP="007B6E9D">
            <w:pPr>
              <w:rPr>
                <w:rFonts w:ascii="Arial" w:hAnsi="Arial" w:cs="Arial"/>
                <w:sz w:val="18"/>
                <w:szCs w:val="20"/>
              </w:rPr>
            </w:pPr>
          </w:p>
          <w:p w14:paraId="535D17A8" w14:textId="550CE869" w:rsidR="00BE4447" w:rsidRPr="009D3859" w:rsidRDefault="00BE4447" w:rsidP="00AA1D0D">
            <w:pPr>
              <w:spacing w:after="0"/>
              <w:rPr>
                <w:rFonts w:ascii="Arial" w:hAnsi="Arial" w:cs="Arial"/>
                <w:sz w:val="22"/>
              </w:rPr>
            </w:pPr>
          </w:p>
        </w:tc>
      </w:tr>
      <w:tr w:rsidR="00DB2686" w14:paraId="64B81A8C" w14:textId="77777777" w:rsidTr="5C4D234D">
        <w:trPr>
          <w:cantSplit/>
          <w:trHeight w:hRule="exact" w:val="1584"/>
        </w:trPr>
        <w:tc>
          <w:tcPr>
            <w:tcW w:w="5400" w:type="dxa"/>
            <w:vAlign w:val="bottom"/>
          </w:tcPr>
          <w:p w14:paraId="069EF866" w14:textId="77777777" w:rsidR="005C3A94" w:rsidRPr="00D15815" w:rsidRDefault="005C3A94" w:rsidP="005C3A94">
            <w:pPr>
              <w:keepNext/>
              <w:spacing w:after="0"/>
              <w:rPr>
                <w:rFonts w:ascii="Arial" w:hAnsi="Arial" w:cs="Arial"/>
                <w:sz w:val="12"/>
                <w:szCs w:val="12"/>
              </w:rPr>
            </w:pPr>
            <w:r w:rsidRPr="00D15815">
              <w:rPr>
                <w:rFonts w:ascii="Arial" w:hAnsi="Arial" w:cs="Arial"/>
                <w:sz w:val="12"/>
                <w:szCs w:val="12"/>
              </w:rPr>
              <w:t xml:space="preserve">FORM </w:t>
            </w:r>
            <w:r>
              <w:rPr>
                <w:rFonts w:ascii="Arial" w:hAnsi="Arial" w:cs="Arial"/>
                <w:sz w:val="12"/>
                <w:szCs w:val="12"/>
              </w:rPr>
              <w:t>4044-A-WI</w:t>
            </w:r>
          </w:p>
          <w:p w14:paraId="5CBB7A03" w14:textId="1BAC113C" w:rsidR="00DB2686" w:rsidRDefault="005C3A94" w:rsidP="005C3A94">
            <w:pPr>
              <w:spacing w:after="40"/>
              <w:jc w:val="left"/>
              <w:rPr>
                <w:b/>
              </w:rPr>
            </w:pPr>
            <w:r w:rsidRPr="00D15815">
              <w:rPr>
                <w:rFonts w:ascii="Arial" w:hAnsi="Arial" w:cs="Arial"/>
                <w:sz w:val="12"/>
                <w:szCs w:val="12"/>
              </w:rPr>
              <w:t>© A</w:t>
            </w:r>
            <w:r>
              <w:rPr>
                <w:rFonts w:ascii="Arial" w:hAnsi="Arial" w:cs="Arial"/>
                <w:sz w:val="12"/>
                <w:szCs w:val="12"/>
              </w:rPr>
              <w:t>DVOCUS</w:t>
            </w:r>
            <w:r w:rsidRPr="00D15815">
              <w:rPr>
                <w:rFonts w:ascii="Arial" w:hAnsi="Arial" w:cs="Arial"/>
                <w:sz w:val="12"/>
                <w:szCs w:val="12"/>
              </w:rPr>
              <w:t xml:space="preserve"> (</w:t>
            </w:r>
            <w:r>
              <w:rPr>
                <w:rFonts w:ascii="Arial" w:hAnsi="Arial" w:cs="Arial"/>
                <w:sz w:val="12"/>
                <w:szCs w:val="12"/>
              </w:rPr>
              <w:t>REV. 4/23</w:t>
            </w:r>
            <w:r w:rsidRPr="00D15815">
              <w:rPr>
                <w:rFonts w:ascii="Arial" w:hAnsi="Arial" w:cs="Arial"/>
                <w:sz w:val="12"/>
                <w:szCs w:val="12"/>
              </w:rPr>
              <w:t>)</w:t>
            </w:r>
          </w:p>
        </w:tc>
        <w:tc>
          <w:tcPr>
            <w:tcW w:w="5400" w:type="dxa"/>
            <w:vAlign w:val="bottom"/>
          </w:tcPr>
          <w:p w14:paraId="0730584C" w14:textId="6460E6EA" w:rsidR="00DB2686" w:rsidRDefault="00DB2686" w:rsidP="5C4D234D">
            <w:pPr>
              <w:spacing w:after="40"/>
              <w:jc w:val="right"/>
              <w:rPr>
                <w:b/>
                <w:bCs/>
              </w:rPr>
            </w:pPr>
          </w:p>
        </w:tc>
      </w:tr>
    </w:tbl>
    <w:p w14:paraId="31471566" w14:textId="030150FA" w:rsidR="00017D16" w:rsidRDefault="00017D16" w:rsidP="00D3700F">
      <w:pPr>
        <w:spacing w:after="40"/>
        <w:rPr>
          <w:b/>
        </w:rPr>
        <w:sectPr w:rsidR="00017D16" w:rsidSect="00017D16">
          <w:type w:val="continuous"/>
          <w:pgSz w:w="12240" w:h="15840" w:code="1"/>
          <w:pgMar w:top="720" w:right="720" w:bottom="720" w:left="720" w:header="720" w:footer="720" w:gutter="0"/>
          <w:pgNumType w:fmt="lowerRoman" w:start="1"/>
          <w:cols w:space="720"/>
          <w:titlePg/>
        </w:sectPr>
      </w:pPr>
    </w:p>
    <w:p w14:paraId="0F0CBD27" w14:textId="77777777" w:rsidR="0032556D" w:rsidRPr="001F3699" w:rsidRDefault="0032556D" w:rsidP="001F3699">
      <w:pPr>
        <w:pStyle w:val="CenterHeading"/>
        <w:spacing w:after="40"/>
        <w:jc w:val="left"/>
        <w:rPr>
          <w:rFonts w:ascii="Arial" w:hAnsi="Arial" w:cs="Arial"/>
          <w:sz w:val="18"/>
          <w:szCs w:val="20"/>
        </w:rPr>
      </w:pPr>
      <w:bookmarkStart w:id="0" w:name="_Toc30013084"/>
      <w:bookmarkStart w:id="1" w:name="_Toc138852515"/>
      <w:r w:rsidRPr="001F3699">
        <w:rPr>
          <w:rFonts w:ascii="Arial" w:hAnsi="Arial" w:cs="Arial"/>
          <w:sz w:val="18"/>
          <w:szCs w:val="20"/>
        </w:rPr>
        <w:lastRenderedPageBreak/>
        <w:t>TABLE OF CONTENTS</w:t>
      </w:r>
      <w:bookmarkEnd w:id="0"/>
      <w:bookmarkEnd w:id="1"/>
    </w:p>
    <w:p w14:paraId="76C14580" w14:textId="77777777" w:rsidR="00F053B1" w:rsidRPr="0032556D" w:rsidRDefault="00F053B1" w:rsidP="00D3700F">
      <w:pPr>
        <w:pStyle w:val="CenterHeading"/>
        <w:spacing w:after="40"/>
      </w:pPr>
    </w:p>
    <w:sdt>
      <w:sdtPr>
        <w:rPr>
          <w:rFonts w:ascii="Times New Roman" w:hAnsi="Times New Roman"/>
          <w:b w:val="0"/>
          <w:caps w:val="0"/>
          <w:color w:val="auto"/>
          <w:sz w:val="20"/>
        </w:rPr>
        <w:id w:val="-1214732447"/>
        <w:docPartObj>
          <w:docPartGallery w:val="Table of Contents"/>
          <w:docPartUnique/>
        </w:docPartObj>
      </w:sdtPr>
      <w:sdtEndPr>
        <w:rPr>
          <w:bCs/>
          <w:noProof/>
        </w:rPr>
      </w:sdtEndPr>
      <w:sdtContent>
        <w:p w14:paraId="43F03862" w14:textId="6360C705" w:rsidR="006A7BC2" w:rsidRDefault="001F3699">
          <w:pPr>
            <w:pStyle w:val="TOC1"/>
            <w:tabs>
              <w:tab w:val="right" w:leader="dot" w:pos="10790"/>
            </w:tabs>
            <w:rPr>
              <w:rFonts w:asciiTheme="minorHAnsi" w:eastAsiaTheme="minorEastAsia" w:hAnsiTheme="minorHAnsi" w:cstheme="minorBidi"/>
              <w:b w:val="0"/>
              <w:caps w:val="0"/>
              <w:noProof/>
              <w:color w:val="auto"/>
              <w:kern w:val="2"/>
              <w:sz w:val="22"/>
              <w14:ligatures w14:val="standardContextual"/>
            </w:rPr>
          </w:pPr>
          <w:r w:rsidRPr="001F3699">
            <w:rPr>
              <w:rStyle w:val="Hyperlink"/>
              <w:color w:val="000099"/>
            </w:rPr>
            <w:fldChar w:fldCharType="begin"/>
          </w:r>
          <w:r w:rsidRPr="001F3699">
            <w:rPr>
              <w:rStyle w:val="Hyperlink"/>
              <w:noProof/>
              <w:color w:val="000099"/>
            </w:rPr>
            <w:instrText xml:space="preserve"> TOC \o "1-3" \h \z \u </w:instrText>
          </w:r>
          <w:r w:rsidRPr="001F3699">
            <w:rPr>
              <w:rStyle w:val="Hyperlink"/>
              <w:color w:val="000099"/>
            </w:rPr>
            <w:fldChar w:fldCharType="separate"/>
          </w:r>
          <w:hyperlink w:anchor="_Toc138852515" w:history="1">
            <w:r w:rsidR="006A7BC2" w:rsidRPr="000932ED">
              <w:rPr>
                <w:rStyle w:val="Hyperlink"/>
                <w:rFonts w:cs="Arial"/>
                <w:noProof/>
              </w:rPr>
              <w:t>TABLE OF CONTENTS</w:t>
            </w:r>
            <w:r w:rsidR="006A7BC2">
              <w:rPr>
                <w:noProof/>
                <w:webHidden/>
              </w:rPr>
              <w:tab/>
            </w:r>
            <w:r w:rsidR="006A7BC2">
              <w:rPr>
                <w:noProof/>
                <w:webHidden/>
              </w:rPr>
              <w:fldChar w:fldCharType="begin"/>
            </w:r>
            <w:r w:rsidR="006A7BC2">
              <w:rPr>
                <w:noProof/>
                <w:webHidden/>
              </w:rPr>
              <w:instrText xml:space="preserve"> PAGEREF _Toc138852515 \h </w:instrText>
            </w:r>
            <w:r w:rsidR="006A7BC2">
              <w:rPr>
                <w:noProof/>
                <w:webHidden/>
              </w:rPr>
            </w:r>
            <w:r w:rsidR="006A7BC2">
              <w:rPr>
                <w:noProof/>
                <w:webHidden/>
              </w:rPr>
              <w:fldChar w:fldCharType="separate"/>
            </w:r>
            <w:r w:rsidR="006A7BC2">
              <w:rPr>
                <w:noProof/>
                <w:webHidden/>
              </w:rPr>
              <w:t>i</w:t>
            </w:r>
            <w:r w:rsidR="006A7BC2">
              <w:rPr>
                <w:noProof/>
                <w:webHidden/>
              </w:rPr>
              <w:fldChar w:fldCharType="end"/>
            </w:r>
          </w:hyperlink>
        </w:p>
        <w:p w14:paraId="71AFEF26" w14:textId="2638B0E8" w:rsidR="006A7BC2" w:rsidRDefault="00000000">
          <w:pPr>
            <w:pStyle w:val="TOC2"/>
            <w:tabs>
              <w:tab w:val="left" w:pos="1320"/>
            </w:tabs>
            <w:rPr>
              <w:rFonts w:asciiTheme="minorHAnsi" w:eastAsiaTheme="minorEastAsia" w:hAnsiTheme="minorHAnsi" w:cstheme="minorBidi"/>
              <w:b w:val="0"/>
              <w:caps w:val="0"/>
              <w:noProof/>
              <w:color w:val="auto"/>
              <w:kern w:val="2"/>
              <w:sz w:val="22"/>
              <w14:ligatures w14:val="standardContextual"/>
            </w:rPr>
          </w:pPr>
          <w:hyperlink w:anchor="_Toc138852516" w:history="1">
            <w:r w:rsidR="006A7BC2" w:rsidRPr="000932ED">
              <w:rPr>
                <w:rStyle w:val="Hyperlink"/>
                <w:noProof/>
              </w:rPr>
              <w:t>SECTION I:</w:t>
            </w:r>
            <w:r w:rsidR="006A7BC2">
              <w:rPr>
                <w:rFonts w:asciiTheme="minorHAnsi" w:eastAsiaTheme="minorEastAsia" w:hAnsiTheme="minorHAnsi" w:cstheme="minorBidi"/>
                <w:b w:val="0"/>
                <w:caps w:val="0"/>
                <w:noProof/>
                <w:color w:val="auto"/>
                <w:kern w:val="2"/>
                <w:sz w:val="22"/>
                <w14:ligatures w14:val="standardContextual"/>
              </w:rPr>
              <w:tab/>
            </w:r>
            <w:r w:rsidR="006A7BC2" w:rsidRPr="000932ED">
              <w:rPr>
                <w:rStyle w:val="Hyperlink"/>
                <w:noProof/>
              </w:rPr>
              <w:t>DEFINITIONS, GENERAL PROVISIONS, AND AMOUNT OF INSURANCE</w:t>
            </w:r>
            <w:r w:rsidR="006A7BC2">
              <w:rPr>
                <w:noProof/>
                <w:webHidden/>
              </w:rPr>
              <w:tab/>
            </w:r>
            <w:r w:rsidR="006A7BC2">
              <w:rPr>
                <w:noProof/>
                <w:webHidden/>
              </w:rPr>
              <w:fldChar w:fldCharType="begin"/>
            </w:r>
            <w:r w:rsidR="006A7BC2">
              <w:rPr>
                <w:noProof/>
                <w:webHidden/>
              </w:rPr>
              <w:instrText xml:space="preserve"> PAGEREF _Toc138852516 \h </w:instrText>
            </w:r>
            <w:r w:rsidR="006A7BC2">
              <w:rPr>
                <w:noProof/>
                <w:webHidden/>
              </w:rPr>
            </w:r>
            <w:r w:rsidR="006A7BC2">
              <w:rPr>
                <w:noProof/>
                <w:webHidden/>
              </w:rPr>
              <w:fldChar w:fldCharType="separate"/>
            </w:r>
            <w:r w:rsidR="006A7BC2">
              <w:rPr>
                <w:noProof/>
                <w:webHidden/>
              </w:rPr>
              <w:t>1</w:t>
            </w:r>
            <w:r w:rsidR="006A7BC2">
              <w:rPr>
                <w:noProof/>
                <w:webHidden/>
              </w:rPr>
              <w:fldChar w:fldCharType="end"/>
            </w:r>
          </w:hyperlink>
        </w:p>
        <w:p w14:paraId="0576860F" w14:textId="6B61E104" w:rsidR="006A7BC2" w:rsidRDefault="00000000">
          <w:pPr>
            <w:pStyle w:val="TOC3"/>
            <w:rPr>
              <w:rFonts w:asciiTheme="minorHAnsi" w:eastAsiaTheme="minorEastAsia" w:hAnsiTheme="minorHAnsi" w:cstheme="minorBidi"/>
              <w:color w:val="auto"/>
              <w:kern w:val="2"/>
              <w:sz w:val="22"/>
              <w14:ligatures w14:val="standardContextual"/>
            </w:rPr>
          </w:pPr>
          <w:hyperlink w:anchor="_Toc138852517" w:history="1">
            <w:r w:rsidR="006A7BC2" w:rsidRPr="000932ED">
              <w:rPr>
                <w:rStyle w:val="Hyperlink"/>
              </w:rPr>
              <w:t>A.</w:t>
            </w:r>
            <w:r w:rsidR="006A7BC2">
              <w:rPr>
                <w:rFonts w:asciiTheme="minorHAnsi" w:eastAsiaTheme="minorEastAsia" w:hAnsiTheme="minorHAnsi" w:cstheme="minorBidi"/>
                <w:color w:val="auto"/>
                <w:kern w:val="2"/>
                <w:sz w:val="22"/>
                <w14:ligatures w14:val="standardContextual"/>
              </w:rPr>
              <w:tab/>
            </w:r>
            <w:r w:rsidR="006A7BC2" w:rsidRPr="000932ED">
              <w:rPr>
                <w:rStyle w:val="Hyperlink"/>
              </w:rPr>
              <w:t>Definitions</w:t>
            </w:r>
            <w:r w:rsidR="006A7BC2">
              <w:rPr>
                <w:webHidden/>
              </w:rPr>
              <w:tab/>
            </w:r>
            <w:r w:rsidR="006A7BC2">
              <w:rPr>
                <w:webHidden/>
              </w:rPr>
              <w:fldChar w:fldCharType="begin"/>
            </w:r>
            <w:r w:rsidR="006A7BC2">
              <w:rPr>
                <w:webHidden/>
              </w:rPr>
              <w:instrText xml:space="preserve"> PAGEREF _Toc138852517 \h </w:instrText>
            </w:r>
            <w:r w:rsidR="006A7BC2">
              <w:rPr>
                <w:webHidden/>
              </w:rPr>
            </w:r>
            <w:r w:rsidR="006A7BC2">
              <w:rPr>
                <w:webHidden/>
              </w:rPr>
              <w:fldChar w:fldCharType="separate"/>
            </w:r>
            <w:r w:rsidR="006A7BC2">
              <w:rPr>
                <w:webHidden/>
              </w:rPr>
              <w:t>1</w:t>
            </w:r>
            <w:r w:rsidR="006A7BC2">
              <w:rPr>
                <w:webHidden/>
              </w:rPr>
              <w:fldChar w:fldCharType="end"/>
            </w:r>
          </w:hyperlink>
        </w:p>
        <w:p w14:paraId="2F01ADAA" w14:textId="6E7657CB" w:rsidR="006A7BC2" w:rsidRDefault="00000000">
          <w:pPr>
            <w:pStyle w:val="TOC3"/>
            <w:rPr>
              <w:rFonts w:asciiTheme="minorHAnsi" w:eastAsiaTheme="minorEastAsia" w:hAnsiTheme="minorHAnsi" w:cstheme="minorBidi"/>
              <w:color w:val="auto"/>
              <w:kern w:val="2"/>
              <w:sz w:val="22"/>
              <w14:ligatures w14:val="standardContextual"/>
            </w:rPr>
          </w:pPr>
          <w:hyperlink w:anchor="_Toc138852518" w:history="1">
            <w:r w:rsidR="006A7BC2" w:rsidRPr="000932ED">
              <w:rPr>
                <w:rStyle w:val="Hyperlink"/>
              </w:rPr>
              <w:t>B.</w:t>
            </w:r>
            <w:r w:rsidR="006A7BC2">
              <w:rPr>
                <w:rFonts w:asciiTheme="minorHAnsi" w:eastAsiaTheme="minorEastAsia" w:hAnsiTheme="minorHAnsi" w:cstheme="minorBidi"/>
                <w:color w:val="auto"/>
                <w:kern w:val="2"/>
                <w:sz w:val="22"/>
                <w14:ligatures w14:val="standardContextual"/>
              </w:rPr>
              <w:tab/>
            </w:r>
            <w:r w:rsidR="006A7BC2" w:rsidRPr="000932ED">
              <w:rPr>
                <w:rStyle w:val="Hyperlink"/>
              </w:rPr>
              <w:t>General Provisions</w:t>
            </w:r>
            <w:r w:rsidR="006A7BC2">
              <w:rPr>
                <w:webHidden/>
              </w:rPr>
              <w:tab/>
            </w:r>
            <w:r w:rsidR="006A7BC2">
              <w:rPr>
                <w:webHidden/>
              </w:rPr>
              <w:fldChar w:fldCharType="begin"/>
            </w:r>
            <w:r w:rsidR="006A7BC2">
              <w:rPr>
                <w:webHidden/>
              </w:rPr>
              <w:instrText xml:space="preserve"> PAGEREF _Toc138852518 \h </w:instrText>
            </w:r>
            <w:r w:rsidR="006A7BC2">
              <w:rPr>
                <w:webHidden/>
              </w:rPr>
            </w:r>
            <w:r w:rsidR="006A7BC2">
              <w:rPr>
                <w:webHidden/>
              </w:rPr>
              <w:fldChar w:fldCharType="separate"/>
            </w:r>
            <w:r w:rsidR="006A7BC2">
              <w:rPr>
                <w:webHidden/>
              </w:rPr>
              <w:t>2</w:t>
            </w:r>
            <w:r w:rsidR="006A7BC2">
              <w:rPr>
                <w:webHidden/>
              </w:rPr>
              <w:fldChar w:fldCharType="end"/>
            </w:r>
          </w:hyperlink>
        </w:p>
        <w:p w14:paraId="6E701FC8" w14:textId="71F4C890" w:rsidR="006A7BC2" w:rsidRDefault="00000000">
          <w:pPr>
            <w:pStyle w:val="TOC3"/>
            <w:rPr>
              <w:rFonts w:asciiTheme="minorHAnsi" w:eastAsiaTheme="minorEastAsia" w:hAnsiTheme="minorHAnsi" w:cstheme="minorBidi"/>
              <w:color w:val="auto"/>
              <w:kern w:val="2"/>
              <w:sz w:val="22"/>
              <w14:ligatures w14:val="standardContextual"/>
            </w:rPr>
          </w:pPr>
          <w:hyperlink w:anchor="_Toc138852519" w:history="1">
            <w:r w:rsidR="006A7BC2" w:rsidRPr="000932ED">
              <w:rPr>
                <w:rStyle w:val="Hyperlink"/>
              </w:rPr>
              <w:t>C.</w:t>
            </w:r>
            <w:r w:rsidR="006A7BC2">
              <w:rPr>
                <w:rFonts w:asciiTheme="minorHAnsi" w:eastAsiaTheme="minorEastAsia" w:hAnsiTheme="minorHAnsi" w:cstheme="minorBidi"/>
                <w:color w:val="auto"/>
                <w:kern w:val="2"/>
                <w:sz w:val="22"/>
                <w14:ligatures w14:val="standardContextual"/>
              </w:rPr>
              <w:tab/>
            </w:r>
            <w:r w:rsidR="006A7BC2" w:rsidRPr="000932ED">
              <w:rPr>
                <w:rStyle w:val="Hyperlink"/>
              </w:rPr>
              <w:t>Amount of Insurance</w:t>
            </w:r>
            <w:r w:rsidR="006A7BC2">
              <w:rPr>
                <w:webHidden/>
              </w:rPr>
              <w:tab/>
            </w:r>
            <w:r w:rsidR="006A7BC2">
              <w:rPr>
                <w:webHidden/>
              </w:rPr>
              <w:fldChar w:fldCharType="begin"/>
            </w:r>
            <w:r w:rsidR="006A7BC2">
              <w:rPr>
                <w:webHidden/>
              </w:rPr>
              <w:instrText xml:space="preserve"> PAGEREF _Toc138852519 \h </w:instrText>
            </w:r>
            <w:r w:rsidR="006A7BC2">
              <w:rPr>
                <w:webHidden/>
              </w:rPr>
            </w:r>
            <w:r w:rsidR="006A7BC2">
              <w:rPr>
                <w:webHidden/>
              </w:rPr>
              <w:fldChar w:fldCharType="separate"/>
            </w:r>
            <w:r w:rsidR="006A7BC2">
              <w:rPr>
                <w:webHidden/>
              </w:rPr>
              <w:t>2</w:t>
            </w:r>
            <w:r w:rsidR="006A7BC2">
              <w:rPr>
                <w:webHidden/>
              </w:rPr>
              <w:fldChar w:fldCharType="end"/>
            </w:r>
          </w:hyperlink>
        </w:p>
        <w:p w14:paraId="5E80315E" w14:textId="07F0CF81" w:rsidR="006A7BC2" w:rsidRDefault="00000000">
          <w:pPr>
            <w:pStyle w:val="TOC2"/>
            <w:tabs>
              <w:tab w:val="left" w:pos="1320"/>
            </w:tabs>
            <w:rPr>
              <w:rFonts w:asciiTheme="minorHAnsi" w:eastAsiaTheme="minorEastAsia" w:hAnsiTheme="minorHAnsi" w:cstheme="minorBidi"/>
              <w:b w:val="0"/>
              <w:caps w:val="0"/>
              <w:noProof/>
              <w:color w:val="auto"/>
              <w:kern w:val="2"/>
              <w:sz w:val="22"/>
              <w14:ligatures w14:val="standardContextual"/>
            </w:rPr>
          </w:pPr>
          <w:hyperlink w:anchor="_Toc138852520" w:history="1">
            <w:r w:rsidR="006A7BC2" w:rsidRPr="000932ED">
              <w:rPr>
                <w:rStyle w:val="Hyperlink"/>
                <w:noProof/>
              </w:rPr>
              <w:t>SECTION II:</w:t>
            </w:r>
            <w:r w:rsidR="006A7BC2">
              <w:rPr>
                <w:rFonts w:asciiTheme="minorHAnsi" w:eastAsiaTheme="minorEastAsia" w:hAnsiTheme="minorHAnsi" w:cstheme="minorBidi"/>
                <w:b w:val="0"/>
                <w:caps w:val="0"/>
                <w:noProof/>
                <w:color w:val="auto"/>
                <w:kern w:val="2"/>
                <w:sz w:val="22"/>
                <w14:ligatures w14:val="standardContextual"/>
              </w:rPr>
              <w:tab/>
            </w:r>
            <w:r w:rsidR="006A7BC2" w:rsidRPr="000932ED">
              <w:rPr>
                <w:rStyle w:val="Hyperlink"/>
                <w:noProof/>
              </w:rPr>
              <w:t>RATES</w:t>
            </w:r>
            <w:r w:rsidR="006A7BC2">
              <w:rPr>
                <w:noProof/>
                <w:webHidden/>
              </w:rPr>
              <w:tab/>
            </w:r>
            <w:r w:rsidR="006A7BC2">
              <w:rPr>
                <w:noProof/>
                <w:webHidden/>
              </w:rPr>
              <w:fldChar w:fldCharType="begin"/>
            </w:r>
            <w:r w:rsidR="006A7BC2">
              <w:rPr>
                <w:noProof/>
                <w:webHidden/>
              </w:rPr>
              <w:instrText xml:space="preserve"> PAGEREF _Toc138852520 \h </w:instrText>
            </w:r>
            <w:r w:rsidR="006A7BC2">
              <w:rPr>
                <w:noProof/>
                <w:webHidden/>
              </w:rPr>
            </w:r>
            <w:r w:rsidR="006A7BC2">
              <w:rPr>
                <w:noProof/>
                <w:webHidden/>
              </w:rPr>
              <w:fldChar w:fldCharType="separate"/>
            </w:r>
            <w:r w:rsidR="006A7BC2">
              <w:rPr>
                <w:noProof/>
                <w:webHidden/>
              </w:rPr>
              <w:t>3</w:t>
            </w:r>
            <w:r w:rsidR="006A7BC2">
              <w:rPr>
                <w:noProof/>
                <w:webHidden/>
              </w:rPr>
              <w:fldChar w:fldCharType="end"/>
            </w:r>
          </w:hyperlink>
        </w:p>
        <w:p w14:paraId="76F2CAC5" w14:textId="02ACC591" w:rsidR="006A7BC2" w:rsidRDefault="00000000">
          <w:pPr>
            <w:pStyle w:val="TOC3"/>
            <w:rPr>
              <w:rFonts w:asciiTheme="minorHAnsi" w:eastAsiaTheme="minorEastAsia" w:hAnsiTheme="minorHAnsi" w:cstheme="minorBidi"/>
              <w:color w:val="auto"/>
              <w:kern w:val="2"/>
              <w:sz w:val="22"/>
              <w14:ligatures w14:val="standardContextual"/>
            </w:rPr>
          </w:pPr>
          <w:hyperlink w:anchor="_Toc138852521" w:history="1">
            <w:r w:rsidR="006A7BC2" w:rsidRPr="000932ED">
              <w:rPr>
                <w:rStyle w:val="Hyperlink"/>
              </w:rPr>
              <w:t>A.</w:t>
            </w:r>
            <w:r w:rsidR="006A7BC2">
              <w:rPr>
                <w:rFonts w:asciiTheme="minorHAnsi" w:eastAsiaTheme="minorEastAsia" w:hAnsiTheme="minorHAnsi" w:cstheme="minorBidi"/>
                <w:color w:val="auto"/>
                <w:kern w:val="2"/>
                <w:sz w:val="22"/>
                <w14:ligatures w14:val="standardContextual"/>
              </w:rPr>
              <w:tab/>
            </w:r>
            <w:r w:rsidR="006A7BC2" w:rsidRPr="000932ED">
              <w:rPr>
                <w:rStyle w:val="Hyperlink"/>
              </w:rPr>
              <w:t>Original Policy Rate</w:t>
            </w:r>
            <w:r w:rsidR="006A7BC2">
              <w:rPr>
                <w:webHidden/>
              </w:rPr>
              <w:tab/>
            </w:r>
            <w:r w:rsidR="006A7BC2">
              <w:rPr>
                <w:webHidden/>
              </w:rPr>
              <w:fldChar w:fldCharType="begin"/>
            </w:r>
            <w:r w:rsidR="006A7BC2">
              <w:rPr>
                <w:webHidden/>
              </w:rPr>
              <w:instrText xml:space="preserve"> PAGEREF _Toc138852521 \h </w:instrText>
            </w:r>
            <w:r w:rsidR="006A7BC2">
              <w:rPr>
                <w:webHidden/>
              </w:rPr>
            </w:r>
            <w:r w:rsidR="006A7BC2">
              <w:rPr>
                <w:webHidden/>
              </w:rPr>
              <w:fldChar w:fldCharType="separate"/>
            </w:r>
            <w:r w:rsidR="006A7BC2">
              <w:rPr>
                <w:webHidden/>
              </w:rPr>
              <w:t>3</w:t>
            </w:r>
            <w:r w:rsidR="006A7BC2">
              <w:rPr>
                <w:webHidden/>
              </w:rPr>
              <w:fldChar w:fldCharType="end"/>
            </w:r>
          </w:hyperlink>
        </w:p>
        <w:p w14:paraId="5B59EFC9" w14:textId="1F20DF52" w:rsidR="006A7BC2" w:rsidRDefault="00000000">
          <w:pPr>
            <w:pStyle w:val="TOC3"/>
            <w:rPr>
              <w:rFonts w:asciiTheme="minorHAnsi" w:eastAsiaTheme="minorEastAsia" w:hAnsiTheme="minorHAnsi" w:cstheme="minorBidi"/>
              <w:color w:val="auto"/>
              <w:kern w:val="2"/>
              <w:sz w:val="22"/>
              <w14:ligatures w14:val="standardContextual"/>
            </w:rPr>
          </w:pPr>
          <w:hyperlink w:anchor="_Toc138852522" w:history="1">
            <w:r w:rsidR="006A7BC2" w:rsidRPr="000932ED">
              <w:rPr>
                <w:rStyle w:val="Hyperlink"/>
              </w:rPr>
              <w:t>B.</w:t>
            </w:r>
            <w:r w:rsidR="006A7BC2">
              <w:rPr>
                <w:rFonts w:asciiTheme="minorHAnsi" w:eastAsiaTheme="minorEastAsia" w:hAnsiTheme="minorHAnsi" w:cstheme="minorBidi"/>
                <w:color w:val="auto"/>
                <w:kern w:val="2"/>
                <w:sz w:val="22"/>
                <w14:ligatures w14:val="standardContextual"/>
              </w:rPr>
              <w:tab/>
            </w:r>
            <w:r w:rsidR="006A7BC2" w:rsidRPr="000932ED">
              <w:rPr>
                <w:rStyle w:val="Hyperlink"/>
              </w:rPr>
              <w:t>Reissue Rate</w:t>
            </w:r>
            <w:r w:rsidR="006A7BC2">
              <w:rPr>
                <w:webHidden/>
              </w:rPr>
              <w:tab/>
            </w:r>
            <w:r w:rsidR="006A7BC2">
              <w:rPr>
                <w:webHidden/>
              </w:rPr>
              <w:fldChar w:fldCharType="begin"/>
            </w:r>
            <w:r w:rsidR="006A7BC2">
              <w:rPr>
                <w:webHidden/>
              </w:rPr>
              <w:instrText xml:space="preserve"> PAGEREF _Toc138852522 \h </w:instrText>
            </w:r>
            <w:r w:rsidR="006A7BC2">
              <w:rPr>
                <w:webHidden/>
              </w:rPr>
            </w:r>
            <w:r w:rsidR="006A7BC2">
              <w:rPr>
                <w:webHidden/>
              </w:rPr>
              <w:fldChar w:fldCharType="separate"/>
            </w:r>
            <w:r w:rsidR="006A7BC2">
              <w:rPr>
                <w:webHidden/>
              </w:rPr>
              <w:t>3</w:t>
            </w:r>
            <w:r w:rsidR="006A7BC2">
              <w:rPr>
                <w:webHidden/>
              </w:rPr>
              <w:fldChar w:fldCharType="end"/>
            </w:r>
          </w:hyperlink>
        </w:p>
        <w:p w14:paraId="2450D48D" w14:textId="4868AA99" w:rsidR="006A7BC2" w:rsidRDefault="00000000">
          <w:pPr>
            <w:pStyle w:val="TOC3"/>
            <w:rPr>
              <w:rFonts w:asciiTheme="minorHAnsi" w:eastAsiaTheme="minorEastAsia" w:hAnsiTheme="minorHAnsi" w:cstheme="minorBidi"/>
              <w:color w:val="auto"/>
              <w:kern w:val="2"/>
              <w:sz w:val="22"/>
              <w14:ligatures w14:val="standardContextual"/>
            </w:rPr>
          </w:pPr>
          <w:hyperlink w:anchor="_Toc138852523" w:history="1">
            <w:r w:rsidR="006A7BC2" w:rsidRPr="000932ED">
              <w:rPr>
                <w:rStyle w:val="Hyperlink"/>
              </w:rPr>
              <w:t>C.</w:t>
            </w:r>
            <w:r w:rsidR="006A7BC2">
              <w:rPr>
                <w:rFonts w:asciiTheme="minorHAnsi" w:eastAsiaTheme="minorEastAsia" w:hAnsiTheme="minorHAnsi" w:cstheme="minorBidi"/>
                <w:color w:val="auto"/>
                <w:kern w:val="2"/>
                <w:sz w:val="22"/>
                <w14:ligatures w14:val="standardContextual"/>
              </w:rPr>
              <w:tab/>
            </w:r>
            <w:r w:rsidR="006A7BC2" w:rsidRPr="000932ED">
              <w:rPr>
                <w:rStyle w:val="Hyperlink"/>
              </w:rPr>
              <w:t>Residential Refinance Loan Policy Rate – Expedited and Full Search</w:t>
            </w:r>
            <w:r w:rsidR="006A7BC2">
              <w:rPr>
                <w:webHidden/>
              </w:rPr>
              <w:tab/>
            </w:r>
            <w:r w:rsidR="006A7BC2">
              <w:rPr>
                <w:webHidden/>
              </w:rPr>
              <w:fldChar w:fldCharType="begin"/>
            </w:r>
            <w:r w:rsidR="006A7BC2">
              <w:rPr>
                <w:webHidden/>
              </w:rPr>
              <w:instrText xml:space="preserve"> PAGEREF _Toc138852523 \h </w:instrText>
            </w:r>
            <w:r w:rsidR="006A7BC2">
              <w:rPr>
                <w:webHidden/>
              </w:rPr>
            </w:r>
            <w:r w:rsidR="006A7BC2">
              <w:rPr>
                <w:webHidden/>
              </w:rPr>
              <w:fldChar w:fldCharType="separate"/>
            </w:r>
            <w:r w:rsidR="006A7BC2">
              <w:rPr>
                <w:webHidden/>
              </w:rPr>
              <w:t>4</w:t>
            </w:r>
            <w:r w:rsidR="006A7BC2">
              <w:rPr>
                <w:webHidden/>
              </w:rPr>
              <w:fldChar w:fldCharType="end"/>
            </w:r>
          </w:hyperlink>
        </w:p>
        <w:p w14:paraId="4BF6F997" w14:textId="2A08CF44" w:rsidR="006A7BC2" w:rsidRDefault="00000000">
          <w:pPr>
            <w:pStyle w:val="TOC3"/>
            <w:rPr>
              <w:rFonts w:asciiTheme="minorHAnsi" w:eastAsiaTheme="minorEastAsia" w:hAnsiTheme="minorHAnsi" w:cstheme="minorBidi"/>
              <w:color w:val="auto"/>
              <w:kern w:val="2"/>
              <w:sz w:val="22"/>
              <w14:ligatures w14:val="standardContextual"/>
            </w:rPr>
          </w:pPr>
          <w:hyperlink w:anchor="_Toc138852524" w:history="1">
            <w:r w:rsidR="006A7BC2" w:rsidRPr="000932ED">
              <w:rPr>
                <w:rStyle w:val="Hyperlink"/>
              </w:rPr>
              <w:t>E.</w:t>
            </w:r>
            <w:r w:rsidR="006A7BC2">
              <w:rPr>
                <w:rFonts w:asciiTheme="minorHAnsi" w:eastAsiaTheme="minorEastAsia" w:hAnsiTheme="minorHAnsi" w:cstheme="minorBidi"/>
                <w:color w:val="auto"/>
                <w:kern w:val="2"/>
                <w:sz w:val="22"/>
                <w14:ligatures w14:val="standardContextual"/>
              </w:rPr>
              <w:tab/>
            </w:r>
            <w:r w:rsidR="006A7BC2" w:rsidRPr="000932ED">
              <w:rPr>
                <w:rStyle w:val="Hyperlink"/>
              </w:rPr>
              <w:t>Residential New Construction Refinance Rate</w:t>
            </w:r>
            <w:r w:rsidR="006A7BC2">
              <w:rPr>
                <w:webHidden/>
              </w:rPr>
              <w:tab/>
            </w:r>
            <w:r w:rsidR="006A7BC2">
              <w:rPr>
                <w:webHidden/>
              </w:rPr>
              <w:fldChar w:fldCharType="begin"/>
            </w:r>
            <w:r w:rsidR="006A7BC2">
              <w:rPr>
                <w:webHidden/>
              </w:rPr>
              <w:instrText xml:space="preserve"> PAGEREF _Toc138852524 \h </w:instrText>
            </w:r>
            <w:r w:rsidR="006A7BC2">
              <w:rPr>
                <w:webHidden/>
              </w:rPr>
            </w:r>
            <w:r w:rsidR="006A7BC2">
              <w:rPr>
                <w:webHidden/>
              </w:rPr>
              <w:fldChar w:fldCharType="separate"/>
            </w:r>
            <w:r w:rsidR="006A7BC2">
              <w:rPr>
                <w:webHidden/>
              </w:rPr>
              <w:t>5</w:t>
            </w:r>
            <w:r w:rsidR="006A7BC2">
              <w:rPr>
                <w:webHidden/>
              </w:rPr>
              <w:fldChar w:fldCharType="end"/>
            </w:r>
          </w:hyperlink>
        </w:p>
        <w:p w14:paraId="5CD203EC" w14:textId="48E883EB" w:rsidR="006A7BC2" w:rsidRDefault="00000000">
          <w:pPr>
            <w:pStyle w:val="TOC3"/>
            <w:rPr>
              <w:rFonts w:asciiTheme="minorHAnsi" w:eastAsiaTheme="minorEastAsia" w:hAnsiTheme="minorHAnsi" w:cstheme="minorBidi"/>
              <w:color w:val="auto"/>
              <w:kern w:val="2"/>
              <w:sz w:val="22"/>
              <w14:ligatures w14:val="standardContextual"/>
            </w:rPr>
          </w:pPr>
          <w:hyperlink w:anchor="_Toc138852525" w:history="1">
            <w:r w:rsidR="006A7BC2" w:rsidRPr="000932ED">
              <w:rPr>
                <w:rStyle w:val="Hyperlink"/>
              </w:rPr>
              <w:t>F.</w:t>
            </w:r>
            <w:r w:rsidR="006A7BC2">
              <w:rPr>
                <w:rFonts w:asciiTheme="minorHAnsi" w:eastAsiaTheme="minorEastAsia" w:hAnsiTheme="minorHAnsi" w:cstheme="minorBidi"/>
                <w:color w:val="auto"/>
                <w:kern w:val="2"/>
                <w:sz w:val="22"/>
                <w14:ligatures w14:val="standardContextual"/>
              </w:rPr>
              <w:tab/>
            </w:r>
            <w:r w:rsidR="006A7BC2" w:rsidRPr="000932ED">
              <w:rPr>
                <w:rStyle w:val="Hyperlink"/>
              </w:rPr>
              <w:t>ALTA Short Form Residential Loan Policy Rate – Simplified Refinance Rate</w:t>
            </w:r>
            <w:r w:rsidR="006A7BC2">
              <w:rPr>
                <w:webHidden/>
              </w:rPr>
              <w:tab/>
            </w:r>
            <w:r w:rsidR="006A7BC2">
              <w:rPr>
                <w:webHidden/>
              </w:rPr>
              <w:fldChar w:fldCharType="begin"/>
            </w:r>
            <w:r w:rsidR="006A7BC2">
              <w:rPr>
                <w:webHidden/>
              </w:rPr>
              <w:instrText xml:space="preserve"> PAGEREF _Toc138852525 \h </w:instrText>
            </w:r>
            <w:r w:rsidR="006A7BC2">
              <w:rPr>
                <w:webHidden/>
              </w:rPr>
            </w:r>
            <w:r w:rsidR="006A7BC2">
              <w:rPr>
                <w:webHidden/>
              </w:rPr>
              <w:fldChar w:fldCharType="separate"/>
            </w:r>
            <w:r w:rsidR="006A7BC2">
              <w:rPr>
                <w:webHidden/>
              </w:rPr>
              <w:t>5</w:t>
            </w:r>
            <w:r w:rsidR="006A7BC2">
              <w:rPr>
                <w:webHidden/>
              </w:rPr>
              <w:fldChar w:fldCharType="end"/>
            </w:r>
          </w:hyperlink>
        </w:p>
        <w:p w14:paraId="7FED6E6A" w14:textId="67279DD6" w:rsidR="006A7BC2" w:rsidRDefault="00000000">
          <w:pPr>
            <w:pStyle w:val="TOC3"/>
            <w:rPr>
              <w:rFonts w:asciiTheme="minorHAnsi" w:eastAsiaTheme="minorEastAsia" w:hAnsiTheme="minorHAnsi" w:cstheme="minorBidi"/>
              <w:color w:val="auto"/>
              <w:kern w:val="2"/>
              <w:sz w:val="22"/>
              <w14:ligatures w14:val="standardContextual"/>
            </w:rPr>
          </w:pPr>
          <w:hyperlink w:anchor="_Toc138852526" w:history="1">
            <w:r w:rsidR="006A7BC2" w:rsidRPr="000932ED">
              <w:rPr>
                <w:rStyle w:val="Hyperlink"/>
              </w:rPr>
              <w:t>G.</w:t>
            </w:r>
            <w:r w:rsidR="006A7BC2">
              <w:rPr>
                <w:rFonts w:asciiTheme="minorHAnsi" w:eastAsiaTheme="minorEastAsia" w:hAnsiTheme="minorHAnsi" w:cstheme="minorBidi"/>
                <w:color w:val="auto"/>
                <w:kern w:val="2"/>
                <w:sz w:val="22"/>
                <w14:ligatures w14:val="standardContextual"/>
              </w:rPr>
              <w:tab/>
            </w:r>
            <w:r w:rsidR="006A7BC2" w:rsidRPr="000932ED">
              <w:rPr>
                <w:rStyle w:val="Hyperlink"/>
              </w:rPr>
              <w:t>Simultaneous Issue Rate</w:t>
            </w:r>
            <w:r w:rsidR="006A7BC2">
              <w:rPr>
                <w:webHidden/>
              </w:rPr>
              <w:tab/>
            </w:r>
            <w:r w:rsidR="006A7BC2">
              <w:rPr>
                <w:webHidden/>
              </w:rPr>
              <w:fldChar w:fldCharType="begin"/>
            </w:r>
            <w:r w:rsidR="006A7BC2">
              <w:rPr>
                <w:webHidden/>
              </w:rPr>
              <w:instrText xml:space="preserve"> PAGEREF _Toc138852526 \h </w:instrText>
            </w:r>
            <w:r w:rsidR="006A7BC2">
              <w:rPr>
                <w:webHidden/>
              </w:rPr>
            </w:r>
            <w:r w:rsidR="006A7BC2">
              <w:rPr>
                <w:webHidden/>
              </w:rPr>
              <w:fldChar w:fldCharType="separate"/>
            </w:r>
            <w:r w:rsidR="006A7BC2">
              <w:rPr>
                <w:webHidden/>
              </w:rPr>
              <w:t>5</w:t>
            </w:r>
            <w:r w:rsidR="006A7BC2">
              <w:rPr>
                <w:webHidden/>
              </w:rPr>
              <w:fldChar w:fldCharType="end"/>
            </w:r>
          </w:hyperlink>
        </w:p>
        <w:p w14:paraId="52B1D81C" w14:textId="11821CB6" w:rsidR="006A7BC2" w:rsidRDefault="00000000">
          <w:pPr>
            <w:pStyle w:val="TOC3"/>
            <w:rPr>
              <w:rFonts w:asciiTheme="minorHAnsi" w:eastAsiaTheme="minorEastAsia" w:hAnsiTheme="minorHAnsi" w:cstheme="minorBidi"/>
              <w:color w:val="auto"/>
              <w:kern w:val="2"/>
              <w:sz w:val="22"/>
              <w14:ligatures w14:val="standardContextual"/>
            </w:rPr>
          </w:pPr>
          <w:hyperlink w:anchor="_Toc138852527" w:history="1">
            <w:r w:rsidR="006A7BC2" w:rsidRPr="000932ED">
              <w:rPr>
                <w:rStyle w:val="Hyperlink"/>
              </w:rPr>
              <w:t>H.</w:t>
            </w:r>
            <w:r w:rsidR="006A7BC2">
              <w:rPr>
                <w:rFonts w:asciiTheme="minorHAnsi" w:eastAsiaTheme="minorEastAsia" w:hAnsiTheme="minorHAnsi" w:cstheme="minorBidi"/>
                <w:color w:val="auto"/>
                <w:kern w:val="2"/>
                <w:sz w:val="22"/>
                <w14:ligatures w14:val="standardContextual"/>
              </w:rPr>
              <w:tab/>
            </w:r>
            <w:r w:rsidR="006A7BC2" w:rsidRPr="000932ED">
              <w:rPr>
                <w:rStyle w:val="Hyperlink"/>
              </w:rPr>
              <w:t>Residential Bifurcated Owner’s and Loan Policy Rate</w:t>
            </w:r>
            <w:r w:rsidR="006A7BC2">
              <w:rPr>
                <w:webHidden/>
              </w:rPr>
              <w:tab/>
            </w:r>
            <w:r w:rsidR="006A7BC2">
              <w:rPr>
                <w:webHidden/>
              </w:rPr>
              <w:fldChar w:fldCharType="begin"/>
            </w:r>
            <w:r w:rsidR="006A7BC2">
              <w:rPr>
                <w:webHidden/>
              </w:rPr>
              <w:instrText xml:space="preserve"> PAGEREF _Toc138852527 \h </w:instrText>
            </w:r>
            <w:r w:rsidR="006A7BC2">
              <w:rPr>
                <w:webHidden/>
              </w:rPr>
            </w:r>
            <w:r w:rsidR="006A7BC2">
              <w:rPr>
                <w:webHidden/>
              </w:rPr>
              <w:fldChar w:fldCharType="separate"/>
            </w:r>
            <w:r w:rsidR="006A7BC2">
              <w:rPr>
                <w:webHidden/>
              </w:rPr>
              <w:t>6</w:t>
            </w:r>
            <w:r w:rsidR="006A7BC2">
              <w:rPr>
                <w:webHidden/>
              </w:rPr>
              <w:fldChar w:fldCharType="end"/>
            </w:r>
          </w:hyperlink>
        </w:p>
        <w:p w14:paraId="0BBC90E7" w14:textId="1FDA78D8" w:rsidR="006A7BC2" w:rsidRDefault="00000000">
          <w:pPr>
            <w:pStyle w:val="TOC3"/>
            <w:rPr>
              <w:rFonts w:asciiTheme="minorHAnsi" w:eastAsiaTheme="minorEastAsia" w:hAnsiTheme="minorHAnsi" w:cstheme="minorBidi"/>
              <w:color w:val="auto"/>
              <w:kern w:val="2"/>
              <w:sz w:val="22"/>
              <w14:ligatures w14:val="standardContextual"/>
            </w:rPr>
          </w:pPr>
          <w:hyperlink w:anchor="_Toc138852528" w:history="1">
            <w:r w:rsidR="006A7BC2" w:rsidRPr="000932ED">
              <w:rPr>
                <w:rStyle w:val="Hyperlink"/>
              </w:rPr>
              <w:t>I.</w:t>
            </w:r>
            <w:r w:rsidR="006A7BC2">
              <w:rPr>
                <w:rFonts w:asciiTheme="minorHAnsi" w:eastAsiaTheme="minorEastAsia" w:hAnsiTheme="minorHAnsi" w:cstheme="minorBidi"/>
                <w:color w:val="auto"/>
                <w:kern w:val="2"/>
                <w:sz w:val="22"/>
                <w14:ligatures w14:val="standardContextual"/>
              </w:rPr>
              <w:tab/>
            </w:r>
            <w:r w:rsidR="006A7BC2" w:rsidRPr="000932ED">
              <w:rPr>
                <w:rStyle w:val="Hyperlink"/>
              </w:rPr>
              <w:t>ALTA Residential Limited Coverage Junior Loan Policy Rate</w:t>
            </w:r>
            <w:r w:rsidR="006A7BC2">
              <w:rPr>
                <w:webHidden/>
              </w:rPr>
              <w:tab/>
            </w:r>
            <w:r w:rsidR="006A7BC2">
              <w:rPr>
                <w:webHidden/>
              </w:rPr>
              <w:fldChar w:fldCharType="begin"/>
            </w:r>
            <w:r w:rsidR="006A7BC2">
              <w:rPr>
                <w:webHidden/>
              </w:rPr>
              <w:instrText xml:space="preserve"> PAGEREF _Toc138852528 \h </w:instrText>
            </w:r>
            <w:r w:rsidR="006A7BC2">
              <w:rPr>
                <w:webHidden/>
              </w:rPr>
            </w:r>
            <w:r w:rsidR="006A7BC2">
              <w:rPr>
                <w:webHidden/>
              </w:rPr>
              <w:fldChar w:fldCharType="separate"/>
            </w:r>
            <w:r w:rsidR="006A7BC2">
              <w:rPr>
                <w:webHidden/>
              </w:rPr>
              <w:t>6</w:t>
            </w:r>
            <w:r w:rsidR="006A7BC2">
              <w:rPr>
                <w:webHidden/>
              </w:rPr>
              <w:fldChar w:fldCharType="end"/>
            </w:r>
          </w:hyperlink>
        </w:p>
        <w:p w14:paraId="5C0FA284" w14:textId="56A41EE2" w:rsidR="006A7BC2" w:rsidRDefault="00000000">
          <w:pPr>
            <w:pStyle w:val="TOC3"/>
            <w:rPr>
              <w:rFonts w:asciiTheme="minorHAnsi" w:eastAsiaTheme="minorEastAsia" w:hAnsiTheme="minorHAnsi" w:cstheme="minorBidi"/>
              <w:color w:val="auto"/>
              <w:kern w:val="2"/>
              <w:sz w:val="22"/>
              <w14:ligatures w14:val="standardContextual"/>
            </w:rPr>
          </w:pPr>
          <w:hyperlink w:anchor="_Toc138852529" w:history="1">
            <w:r w:rsidR="006A7BC2" w:rsidRPr="000932ED">
              <w:rPr>
                <w:rStyle w:val="Hyperlink"/>
              </w:rPr>
              <w:t>J.</w:t>
            </w:r>
            <w:r w:rsidR="006A7BC2">
              <w:rPr>
                <w:rFonts w:asciiTheme="minorHAnsi" w:eastAsiaTheme="minorEastAsia" w:hAnsiTheme="minorHAnsi" w:cstheme="minorBidi"/>
                <w:color w:val="auto"/>
                <w:kern w:val="2"/>
                <w:sz w:val="22"/>
                <w14:ligatures w14:val="standardContextual"/>
              </w:rPr>
              <w:tab/>
            </w:r>
            <w:r w:rsidR="006A7BC2" w:rsidRPr="000932ED">
              <w:rPr>
                <w:rStyle w:val="Hyperlink"/>
              </w:rPr>
              <w:t>Master Owner’s Policy and Take-Off Policy Rate</w:t>
            </w:r>
            <w:r w:rsidR="006A7BC2">
              <w:rPr>
                <w:webHidden/>
              </w:rPr>
              <w:tab/>
            </w:r>
            <w:r w:rsidR="006A7BC2">
              <w:rPr>
                <w:webHidden/>
              </w:rPr>
              <w:fldChar w:fldCharType="begin"/>
            </w:r>
            <w:r w:rsidR="006A7BC2">
              <w:rPr>
                <w:webHidden/>
              </w:rPr>
              <w:instrText xml:space="preserve"> PAGEREF _Toc138852529 \h </w:instrText>
            </w:r>
            <w:r w:rsidR="006A7BC2">
              <w:rPr>
                <w:webHidden/>
              </w:rPr>
            </w:r>
            <w:r w:rsidR="006A7BC2">
              <w:rPr>
                <w:webHidden/>
              </w:rPr>
              <w:fldChar w:fldCharType="separate"/>
            </w:r>
            <w:r w:rsidR="006A7BC2">
              <w:rPr>
                <w:webHidden/>
              </w:rPr>
              <w:t>6</w:t>
            </w:r>
            <w:r w:rsidR="006A7BC2">
              <w:rPr>
                <w:webHidden/>
              </w:rPr>
              <w:fldChar w:fldCharType="end"/>
            </w:r>
          </w:hyperlink>
        </w:p>
        <w:p w14:paraId="5EDA8F6C" w14:textId="54DD8845" w:rsidR="006A7BC2" w:rsidRDefault="00000000">
          <w:pPr>
            <w:pStyle w:val="TOC3"/>
            <w:rPr>
              <w:rFonts w:asciiTheme="minorHAnsi" w:eastAsiaTheme="minorEastAsia" w:hAnsiTheme="minorHAnsi" w:cstheme="minorBidi"/>
              <w:color w:val="auto"/>
              <w:kern w:val="2"/>
              <w:sz w:val="22"/>
              <w14:ligatures w14:val="standardContextual"/>
            </w:rPr>
          </w:pPr>
          <w:hyperlink w:anchor="_Toc138852530" w:history="1">
            <w:r w:rsidR="006A7BC2" w:rsidRPr="000932ED">
              <w:rPr>
                <w:rStyle w:val="Hyperlink"/>
              </w:rPr>
              <w:t>K.</w:t>
            </w:r>
            <w:r w:rsidR="006A7BC2">
              <w:rPr>
                <w:rFonts w:asciiTheme="minorHAnsi" w:eastAsiaTheme="minorEastAsia" w:hAnsiTheme="minorHAnsi" w:cstheme="minorBidi"/>
                <w:color w:val="auto"/>
                <w:kern w:val="2"/>
                <w:sz w:val="22"/>
                <w14:ligatures w14:val="standardContextual"/>
              </w:rPr>
              <w:tab/>
            </w:r>
            <w:r w:rsidR="006A7BC2" w:rsidRPr="000932ED">
              <w:rPr>
                <w:rStyle w:val="Hyperlink"/>
              </w:rPr>
              <w:t>Charitable Non-Profit Organization Rate</w:t>
            </w:r>
            <w:r w:rsidR="006A7BC2">
              <w:rPr>
                <w:webHidden/>
              </w:rPr>
              <w:tab/>
            </w:r>
            <w:r w:rsidR="006A7BC2">
              <w:rPr>
                <w:webHidden/>
              </w:rPr>
              <w:fldChar w:fldCharType="begin"/>
            </w:r>
            <w:r w:rsidR="006A7BC2">
              <w:rPr>
                <w:webHidden/>
              </w:rPr>
              <w:instrText xml:space="preserve"> PAGEREF _Toc138852530 \h </w:instrText>
            </w:r>
            <w:r w:rsidR="006A7BC2">
              <w:rPr>
                <w:webHidden/>
              </w:rPr>
            </w:r>
            <w:r w:rsidR="006A7BC2">
              <w:rPr>
                <w:webHidden/>
              </w:rPr>
              <w:fldChar w:fldCharType="separate"/>
            </w:r>
            <w:r w:rsidR="006A7BC2">
              <w:rPr>
                <w:webHidden/>
              </w:rPr>
              <w:t>7</w:t>
            </w:r>
            <w:r w:rsidR="006A7BC2">
              <w:rPr>
                <w:webHidden/>
              </w:rPr>
              <w:fldChar w:fldCharType="end"/>
            </w:r>
          </w:hyperlink>
        </w:p>
        <w:p w14:paraId="01BD0A8A" w14:textId="00366A08" w:rsidR="006A7BC2" w:rsidRDefault="00000000">
          <w:pPr>
            <w:pStyle w:val="TOC3"/>
            <w:rPr>
              <w:rFonts w:asciiTheme="minorHAnsi" w:eastAsiaTheme="minorEastAsia" w:hAnsiTheme="minorHAnsi" w:cstheme="minorBidi"/>
              <w:color w:val="auto"/>
              <w:kern w:val="2"/>
              <w:sz w:val="22"/>
              <w14:ligatures w14:val="standardContextual"/>
            </w:rPr>
          </w:pPr>
          <w:hyperlink w:anchor="_Toc138852531" w:history="1">
            <w:r w:rsidR="006A7BC2" w:rsidRPr="000932ED">
              <w:rPr>
                <w:rStyle w:val="Hyperlink"/>
              </w:rPr>
              <w:t>L.</w:t>
            </w:r>
            <w:r w:rsidR="006A7BC2">
              <w:rPr>
                <w:rFonts w:asciiTheme="minorHAnsi" w:eastAsiaTheme="minorEastAsia" w:hAnsiTheme="minorHAnsi" w:cstheme="minorBidi"/>
                <w:color w:val="auto"/>
                <w:kern w:val="2"/>
                <w:sz w:val="22"/>
                <w14:ligatures w14:val="standardContextual"/>
              </w:rPr>
              <w:tab/>
            </w:r>
            <w:r w:rsidR="006A7BC2" w:rsidRPr="000932ED">
              <w:rPr>
                <w:rStyle w:val="Hyperlink"/>
              </w:rPr>
              <w:t>Survey Clearance on Non-Residential Loan Policies up to $5,000,000</w:t>
            </w:r>
            <w:r w:rsidR="006A7BC2">
              <w:rPr>
                <w:webHidden/>
              </w:rPr>
              <w:tab/>
            </w:r>
            <w:r w:rsidR="006A7BC2">
              <w:rPr>
                <w:webHidden/>
              </w:rPr>
              <w:fldChar w:fldCharType="begin"/>
            </w:r>
            <w:r w:rsidR="006A7BC2">
              <w:rPr>
                <w:webHidden/>
              </w:rPr>
              <w:instrText xml:space="preserve"> PAGEREF _Toc138852531 \h </w:instrText>
            </w:r>
            <w:r w:rsidR="006A7BC2">
              <w:rPr>
                <w:webHidden/>
              </w:rPr>
            </w:r>
            <w:r w:rsidR="006A7BC2">
              <w:rPr>
                <w:webHidden/>
              </w:rPr>
              <w:fldChar w:fldCharType="separate"/>
            </w:r>
            <w:r w:rsidR="006A7BC2">
              <w:rPr>
                <w:webHidden/>
              </w:rPr>
              <w:t>7</w:t>
            </w:r>
            <w:r w:rsidR="006A7BC2">
              <w:rPr>
                <w:webHidden/>
              </w:rPr>
              <w:fldChar w:fldCharType="end"/>
            </w:r>
          </w:hyperlink>
        </w:p>
        <w:p w14:paraId="4C49FD9D" w14:textId="76003828" w:rsidR="006A7BC2" w:rsidRDefault="00000000">
          <w:pPr>
            <w:pStyle w:val="TOC3"/>
            <w:rPr>
              <w:rFonts w:asciiTheme="minorHAnsi" w:eastAsiaTheme="minorEastAsia" w:hAnsiTheme="minorHAnsi" w:cstheme="minorBidi"/>
              <w:color w:val="auto"/>
              <w:kern w:val="2"/>
              <w:sz w:val="22"/>
              <w14:ligatures w14:val="standardContextual"/>
            </w:rPr>
          </w:pPr>
          <w:hyperlink w:anchor="_Toc138852532" w:history="1">
            <w:r w:rsidR="006A7BC2" w:rsidRPr="000932ED">
              <w:rPr>
                <w:rStyle w:val="Hyperlink"/>
              </w:rPr>
              <w:t>M.</w:t>
            </w:r>
            <w:r w:rsidR="006A7BC2">
              <w:rPr>
                <w:rFonts w:asciiTheme="minorHAnsi" w:eastAsiaTheme="minorEastAsia" w:hAnsiTheme="minorHAnsi" w:cstheme="minorBidi"/>
                <w:color w:val="auto"/>
                <w:kern w:val="2"/>
                <w:sz w:val="22"/>
                <w14:ligatures w14:val="standardContextual"/>
              </w:rPr>
              <w:tab/>
            </w:r>
            <w:r w:rsidR="006A7BC2" w:rsidRPr="000932ED">
              <w:rPr>
                <w:rStyle w:val="Hyperlink"/>
              </w:rPr>
              <w:t>ALTA 9 or 9.3 Issuance and Survey Clearance on Non-Residential Loan Policies up to $5,000,000 of Insured Risk</w:t>
            </w:r>
            <w:r w:rsidR="006A7BC2">
              <w:rPr>
                <w:webHidden/>
              </w:rPr>
              <w:tab/>
            </w:r>
            <w:r w:rsidR="006A7BC2">
              <w:rPr>
                <w:webHidden/>
              </w:rPr>
              <w:fldChar w:fldCharType="begin"/>
            </w:r>
            <w:r w:rsidR="006A7BC2">
              <w:rPr>
                <w:webHidden/>
              </w:rPr>
              <w:instrText xml:space="preserve"> PAGEREF _Toc138852532 \h </w:instrText>
            </w:r>
            <w:r w:rsidR="006A7BC2">
              <w:rPr>
                <w:webHidden/>
              </w:rPr>
            </w:r>
            <w:r w:rsidR="006A7BC2">
              <w:rPr>
                <w:webHidden/>
              </w:rPr>
              <w:fldChar w:fldCharType="separate"/>
            </w:r>
            <w:r w:rsidR="006A7BC2">
              <w:rPr>
                <w:webHidden/>
              </w:rPr>
              <w:t>7</w:t>
            </w:r>
            <w:r w:rsidR="006A7BC2">
              <w:rPr>
                <w:webHidden/>
              </w:rPr>
              <w:fldChar w:fldCharType="end"/>
            </w:r>
          </w:hyperlink>
        </w:p>
        <w:p w14:paraId="4D9353B1" w14:textId="310A15DB" w:rsidR="006A7BC2" w:rsidRDefault="00000000">
          <w:pPr>
            <w:pStyle w:val="TOC2"/>
            <w:tabs>
              <w:tab w:val="left" w:pos="1320"/>
            </w:tabs>
            <w:rPr>
              <w:rFonts w:asciiTheme="minorHAnsi" w:eastAsiaTheme="minorEastAsia" w:hAnsiTheme="minorHAnsi" w:cstheme="minorBidi"/>
              <w:b w:val="0"/>
              <w:caps w:val="0"/>
              <w:noProof/>
              <w:color w:val="auto"/>
              <w:kern w:val="2"/>
              <w:sz w:val="22"/>
              <w14:ligatures w14:val="standardContextual"/>
            </w:rPr>
          </w:pPr>
          <w:hyperlink w:anchor="_Toc138852533" w:history="1">
            <w:r w:rsidR="006A7BC2" w:rsidRPr="000932ED">
              <w:rPr>
                <w:rStyle w:val="Hyperlink"/>
                <w:noProof/>
              </w:rPr>
              <w:t>SECTION III:</w:t>
            </w:r>
            <w:r w:rsidR="006A7BC2">
              <w:rPr>
                <w:rFonts w:asciiTheme="minorHAnsi" w:eastAsiaTheme="minorEastAsia" w:hAnsiTheme="minorHAnsi" w:cstheme="minorBidi"/>
                <w:b w:val="0"/>
                <w:caps w:val="0"/>
                <w:noProof/>
                <w:color w:val="auto"/>
                <w:kern w:val="2"/>
                <w:sz w:val="22"/>
                <w14:ligatures w14:val="standardContextual"/>
              </w:rPr>
              <w:tab/>
            </w:r>
            <w:r w:rsidR="006A7BC2" w:rsidRPr="000932ED">
              <w:rPr>
                <w:rStyle w:val="Hyperlink"/>
                <w:noProof/>
              </w:rPr>
              <w:t>MISCELLANEOUS CHARGES</w:t>
            </w:r>
            <w:r w:rsidR="006A7BC2">
              <w:rPr>
                <w:noProof/>
                <w:webHidden/>
              </w:rPr>
              <w:tab/>
            </w:r>
            <w:r w:rsidR="006A7BC2">
              <w:rPr>
                <w:noProof/>
                <w:webHidden/>
              </w:rPr>
              <w:fldChar w:fldCharType="begin"/>
            </w:r>
            <w:r w:rsidR="006A7BC2">
              <w:rPr>
                <w:noProof/>
                <w:webHidden/>
              </w:rPr>
              <w:instrText xml:space="preserve"> PAGEREF _Toc138852533 \h </w:instrText>
            </w:r>
            <w:r w:rsidR="006A7BC2">
              <w:rPr>
                <w:noProof/>
                <w:webHidden/>
              </w:rPr>
            </w:r>
            <w:r w:rsidR="006A7BC2">
              <w:rPr>
                <w:noProof/>
                <w:webHidden/>
              </w:rPr>
              <w:fldChar w:fldCharType="separate"/>
            </w:r>
            <w:r w:rsidR="006A7BC2">
              <w:rPr>
                <w:noProof/>
                <w:webHidden/>
              </w:rPr>
              <w:t>7</w:t>
            </w:r>
            <w:r w:rsidR="006A7BC2">
              <w:rPr>
                <w:noProof/>
                <w:webHidden/>
              </w:rPr>
              <w:fldChar w:fldCharType="end"/>
            </w:r>
          </w:hyperlink>
        </w:p>
        <w:p w14:paraId="27FE8E1C" w14:textId="51ADFDF9" w:rsidR="006A7BC2" w:rsidRDefault="00000000">
          <w:pPr>
            <w:pStyle w:val="TOC3"/>
            <w:rPr>
              <w:rFonts w:asciiTheme="minorHAnsi" w:eastAsiaTheme="minorEastAsia" w:hAnsiTheme="minorHAnsi" w:cstheme="minorBidi"/>
              <w:color w:val="auto"/>
              <w:kern w:val="2"/>
              <w:sz w:val="22"/>
              <w14:ligatures w14:val="standardContextual"/>
            </w:rPr>
          </w:pPr>
          <w:hyperlink w:anchor="_Toc138852534" w:history="1">
            <w:r w:rsidR="006A7BC2" w:rsidRPr="000932ED">
              <w:rPr>
                <w:rStyle w:val="Hyperlink"/>
              </w:rPr>
              <w:t>A.</w:t>
            </w:r>
            <w:r w:rsidR="006A7BC2">
              <w:rPr>
                <w:rFonts w:asciiTheme="minorHAnsi" w:eastAsiaTheme="minorEastAsia" w:hAnsiTheme="minorHAnsi" w:cstheme="minorBidi"/>
                <w:color w:val="auto"/>
                <w:kern w:val="2"/>
                <w:sz w:val="22"/>
                <w14:ligatures w14:val="standardContextual"/>
              </w:rPr>
              <w:tab/>
            </w:r>
            <w:r w:rsidR="006A7BC2" w:rsidRPr="000932ED">
              <w:rPr>
                <w:rStyle w:val="Hyperlink"/>
              </w:rPr>
              <w:t>Additional Parcels or Chain of Title Prepared by A</w:t>
            </w:r>
            <w:r w:rsidR="004A5C6F">
              <w:rPr>
                <w:rStyle w:val="Hyperlink"/>
              </w:rPr>
              <w:t>dvocus</w:t>
            </w:r>
            <w:r w:rsidR="006A7BC2">
              <w:rPr>
                <w:webHidden/>
              </w:rPr>
              <w:tab/>
            </w:r>
            <w:r w:rsidR="006A7BC2">
              <w:rPr>
                <w:webHidden/>
              </w:rPr>
              <w:fldChar w:fldCharType="begin"/>
            </w:r>
            <w:r w:rsidR="006A7BC2">
              <w:rPr>
                <w:webHidden/>
              </w:rPr>
              <w:instrText xml:space="preserve"> PAGEREF _Toc138852534 \h </w:instrText>
            </w:r>
            <w:r w:rsidR="006A7BC2">
              <w:rPr>
                <w:webHidden/>
              </w:rPr>
            </w:r>
            <w:r w:rsidR="006A7BC2">
              <w:rPr>
                <w:webHidden/>
              </w:rPr>
              <w:fldChar w:fldCharType="separate"/>
            </w:r>
            <w:r w:rsidR="006A7BC2">
              <w:rPr>
                <w:webHidden/>
              </w:rPr>
              <w:t>7</w:t>
            </w:r>
            <w:r w:rsidR="006A7BC2">
              <w:rPr>
                <w:webHidden/>
              </w:rPr>
              <w:fldChar w:fldCharType="end"/>
            </w:r>
          </w:hyperlink>
        </w:p>
        <w:p w14:paraId="6B9E95B8" w14:textId="7E8030F0" w:rsidR="006A7BC2" w:rsidRDefault="00000000">
          <w:pPr>
            <w:pStyle w:val="TOC3"/>
            <w:rPr>
              <w:rFonts w:asciiTheme="minorHAnsi" w:eastAsiaTheme="minorEastAsia" w:hAnsiTheme="minorHAnsi" w:cstheme="minorBidi"/>
              <w:color w:val="auto"/>
              <w:kern w:val="2"/>
              <w:sz w:val="22"/>
              <w14:ligatures w14:val="standardContextual"/>
            </w:rPr>
          </w:pPr>
          <w:hyperlink w:anchor="_Toc138852535" w:history="1">
            <w:r w:rsidR="006A7BC2" w:rsidRPr="000932ED">
              <w:rPr>
                <w:rStyle w:val="Hyperlink"/>
              </w:rPr>
              <w:t>B.</w:t>
            </w:r>
            <w:r w:rsidR="006A7BC2">
              <w:rPr>
                <w:rFonts w:asciiTheme="minorHAnsi" w:eastAsiaTheme="minorEastAsia" w:hAnsiTheme="minorHAnsi" w:cstheme="minorBidi"/>
                <w:color w:val="auto"/>
                <w:kern w:val="2"/>
                <w:sz w:val="22"/>
                <w14:ligatures w14:val="standardContextual"/>
              </w:rPr>
              <w:tab/>
            </w:r>
            <w:r w:rsidR="006A7BC2" w:rsidRPr="000932ED">
              <w:rPr>
                <w:rStyle w:val="Hyperlink"/>
              </w:rPr>
              <w:t>Court Proceedings</w:t>
            </w:r>
            <w:r w:rsidR="006A7BC2">
              <w:rPr>
                <w:webHidden/>
              </w:rPr>
              <w:tab/>
            </w:r>
            <w:r w:rsidR="006A7BC2">
              <w:rPr>
                <w:webHidden/>
              </w:rPr>
              <w:fldChar w:fldCharType="begin"/>
            </w:r>
            <w:r w:rsidR="006A7BC2">
              <w:rPr>
                <w:webHidden/>
              </w:rPr>
              <w:instrText xml:space="preserve"> PAGEREF _Toc138852535 \h </w:instrText>
            </w:r>
            <w:r w:rsidR="006A7BC2">
              <w:rPr>
                <w:webHidden/>
              </w:rPr>
            </w:r>
            <w:r w:rsidR="006A7BC2">
              <w:rPr>
                <w:webHidden/>
              </w:rPr>
              <w:fldChar w:fldCharType="separate"/>
            </w:r>
            <w:r w:rsidR="006A7BC2">
              <w:rPr>
                <w:webHidden/>
              </w:rPr>
              <w:t>7</w:t>
            </w:r>
            <w:r w:rsidR="006A7BC2">
              <w:rPr>
                <w:webHidden/>
              </w:rPr>
              <w:fldChar w:fldCharType="end"/>
            </w:r>
          </w:hyperlink>
        </w:p>
        <w:p w14:paraId="3DE2B3F9" w14:textId="6894B678" w:rsidR="006A7BC2" w:rsidRDefault="00000000">
          <w:pPr>
            <w:pStyle w:val="TOC3"/>
            <w:rPr>
              <w:rFonts w:asciiTheme="minorHAnsi" w:eastAsiaTheme="minorEastAsia" w:hAnsiTheme="minorHAnsi" w:cstheme="minorBidi"/>
              <w:color w:val="auto"/>
              <w:kern w:val="2"/>
              <w:sz w:val="22"/>
              <w14:ligatures w14:val="standardContextual"/>
            </w:rPr>
          </w:pPr>
          <w:hyperlink w:anchor="_Toc138852536" w:history="1">
            <w:r w:rsidR="006A7BC2" w:rsidRPr="000932ED">
              <w:rPr>
                <w:rStyle w:val="Hyperlink"/>
              </w:rPr>
              <w:t>C.</w:t>
            </w:r>
            <w:r w:rsidR="006A7BC2">
              <w:rPr>
                <w:rFonts w:asciiTheme="minorHAnsi" w:eastAsiaTheme="minorEastAsia" w:hAnsiTheme="minorHAnsi" w:cstheme="minorBidi"/>
                <w:color w:val="auto"/>
                <w:kern w:val="2"/>
                <w:sz w:val="22"/>
                <w14:ligatures w14:val="standardContextual"/>
              </w:rPr>
              <w:tab/>
            </w:r>
            <w:r w:rsidR="006A7BC2" w:rsidRPr="000932ED">
              <w:rPr>
                <w:rStyle w:val="Hyperlink"/>
              </w:rPr>
              <w:t>Unusual Risk</w:t>
            </w:r>
            <w:r w:rsidR="006A7BC2">
              <w:rPr>
                <w:webHidden/>
              </w:rPr>
              <w:tab/>
            </w:r>
            <w:r w:rsidR="006A7BC2">
              <w:rPr>
                <w:webHidden/>
              </w:rPr>
              <w:fldChar w:fldCharType="begin"/>
            </w:r>
            <w:r w:rsidR="006A7BC2">
              <w:rPr>
                <w:webHidden/>
              </w:rPr>
              <w:instrText xml:space="preserve"> PAGEREF _Toc138852536 \h </w:instrText>
            </w:r>
            <w:r w:rsidR="006A7BC2">
              <w:rPr>
                <w:webHidden/>
              </w:rPr>
            </w:r>
            <w:r w:rsidR="006A7BC2">
              <w:rPr>
                <w:webHidden/>
              </w:rPr>
              <w:fldChar w:fldCharType="separate"/>
            </w:r>
            <w:r w:rsidR="006A7BC2">
              <w:rPr>
                <w:webHidden/>
              </w:rPr>
              <w:t>7</w:t>
            </w:r>
            <w:r w:rsidR="006A7BC2">
              <w:rPr>
                <w:webHidden/>
              </w:rPr>
              <w:fldChar w:fldCharType="end"/>
            </w:r>
          </w:hyperlink>
        </w:p>
        <w:p w14:paraId="3D1F2250" w14:textId="0A6C8618" w:rsidR="006A7BC2" w:rsidRDefault="00000000">
          <w:pPr>
            <w:pStyle w:val="TOC3"/>
            <w:rPr>
              <w:rFonts w:asciiTheme="minorHAnsi" w:eastAsiaTheme="minorEastAsia" w:hAnsiTheme="minorHAnsi" w:cstheme="minorBidi"/>
              <w:color w:val="auto"/>
              <w:kern w:val="2"/>
              <w:sz w:val="22"/>
              <w14:ligatures w14:val="standardContextual"/>
            </w:rPr>
          </w:pPr>
          <w:hyperlink w:anchor="_Toc138852537" w:history="1">
            <w:r w:rsidR="006A7BC2" w:rsidRPr="000932ED">
              <w:rPr>
                <w:rStyle w:val="Hyperlink"/>
              </w:rPr>
              <w:t>D.</w:t>
            </w:r>
            <w:r w:rsidR="006A7BC2">
              <w:rPr>
                <w:rFonts w:asciiTheme="minorHAnsi" w:eastAsiaTheme="minorEastAsia" w:hAnsiTheme="minorHAnsi" w:cstheme="minorBidi"/>
                <w:color w:val="auto"/>
                <w:kern w:val="2"/>
                <w:sz w:val="22"/>
                <w14:ligatures w14:val="standardContextual"/>
              </w:rPr>
              <w:tab/>
            </w:r>
            <w:r w:rsidR="006A7BC2" w:rsidRPr="000932ED">
              <w:rPr>
                <w:rStyle w:val="Hyperlink"/>
              </w:rPr>
              <w:t>Time Share Charge</w:t>
            </w:r>
            <w:r w:rsidR="006A7BC2">
              <w:rPr>
                <w:webHidden/>
              </w:rPr>
              <w:tab/>
            </w:r>
            <w:r w:rsidR="006A7BC2">
              <w:rPr>
                <w:webHidden/>
              </w:rPr>
              <w:fldChar w:fldCharType="begin"/>
            </w:r>
            <w:r w:rsidR="006A7BC2">
              <w:rPr>
                <w:webHidden/>
              </w:rPr>
              <w:instrText xml:space="preserve"> PAGEREF _Toc138852537 \h </w:instrText>
            </w:r>
            <w:r w:rsidR="006A7BC2">
              <w:rPr>
                <w:webHidden/>
              </w:rPr>
            </w:r>
            <w:r w:rsidR="006A7BC2">
              <w:rPr>
                <w:webHidden/>
              </w:rPr>
              <w:fldChar w:fldCharType="separate"/>
            </w:r>
            <w:r w:rsidR="006A7BC2">
              <w:rPr>
                <w:webHidden/>
              </w:rPr>
              <w:t>7</w:t>
            </w:r>
            <w:r w:rsidR="006A7BC2">
              <w:rPr>
                <w:webHidden/>
              </w:rPr>
              <w:fldChar w:fldCharType="end"/>
            </w:r>
          </w:hyperlink>
        </w:p>
        <w:p w14:paraId="6E741C25" w14:textId="24DE3F67" w:rsidR="006A7BC2" w:rsidRDefault="00000000">
          <w:pPr>
            <w:pStyle w:val="TOC2"/>
            <w:tabs>
              <w:tab w:val="left" w:pos="1320"/>
            </w:tabs>
            <w:rPr>
              <w:rFonts w:asciiTheme="minorHAnsi" w:eastAsiaTheme="minorEastAsia" w:hAnsiTheme="minorHAnsi" w:cstheme="minorBidi"/>
              <w:b w:val="0"/>
              <w:caps w:val="0"/>
              <w:noProof/>
              <w:color w:val="auto"/>
              <w:kern w:val="2"/>
              <w:sz w:val="22"/>
              <w14:ligatures w14:val="standardContextual"/>
            </w:rPr>
          </w:pPr>
          <w:hyperlink w:anchor="_Toc138852538" w:history="1">
            <w:r w:rsidR="006A7BC2" w:rsidRPr="000932ED">
              <w:rPr>
                <w:rStyle w:val="Hyperlink"/>
                <w:noProof/>
              </w:rPr>
              <w:t>SECTION IV:</w:t>
            </w:r>
            <w:r w:rsidR="006A7BC2">
              <w:rPr>
                <w:rFonts w:asciiTheme="minorHAnsi" w:eastAsiaTheme="minorEastAsia" w:hAnsiTheme="minorHAnsi" w:cstheme="minorBidi"/>
                <w:b w:val="0"/>
                <w:caps w:val="0"/>
                <w:noProof/>
                <w:color w:val="auto"/>
                <w:kern w:val="2"/>
                <w:sz w:val="22"/>
                <w14:ligatures w14:val="standardContextual"/>
              </w:rPr>
              <w:tab/>
            </w:r>
            <w:r w:rsidR="006A7BC2" w:rsidRPr="000932ED">
              <w:rPr>
                <w:rStyle w:val="Hyperlink"/>
                <w:noProof/>
              </w:rPr>
              <w:t>ENDORSEMENTS</w:t>
            </w:r>
            <w:r w:rsidR="006A7BC2">
              <w:rPr>
                <w:noProof/>
                <w:webHidden/>
              </w:rPr>
              <w:tab/>
            </w:r>
            <w:r w:rsidR="006A7BC2">
              <w:rPr>
                <w:noProof/>
                <w:webHidden/>
              </w:rPr>
              <w:fldChar w:fldCharType="begin"/>
            </w:r>
            <w:r w:rsidR="006A7BC2">
              <w:rPr>
                <w:noProof/>
                <w:webHidden/>
              </w:rPr>
              <w:instrText xml:space="preserve"> PAGEREF _Toc138852538 \h </w:instrText>
            </w:r>
            <w:r w:rsidR="006A7BC2">
              <w:rPr>
                <w:noProof/>
                <w:webHidden/>
              </w:rPr>
            </w:r>
            <w:r w:rsidR="006A7BC2">
              <w:rPr>
                <w:noProof/>
                <w:webHidden/>
              </w:rPr>
              <w:fldChar w:fldCharType="separate"/>
            </w:r>
            <w:r w:rsidR="006A7BC2">
              <w:rPr>
                <w:noProof/>
                <w:webHidden/>
              </w:rPr>
              <w:t>8</w:t>
            </w:r>
            <w:r w:rsidR="006A7BC2">
              <w:rPr>
                <w:noProof/>
                <w:webHidden/>
              </w:rPr>
              <w:fldChar w:fldCharType="end"/>
            </w:r>
          </w:hyperlink>
        </w:p>
        <w:p w14:paraId="279CE198" w14:textId="4E207815" w:rsidR="001F3699" w:rsidRDefault="001F3699">
          <w:r w:rsidRPr="001F3699">
            <w:rPr>
              <w:b/>
              <w:bCs/>
              <w:noProof/>
              <w:color w:val="000099"/>
            </w:rPr>
            <w:fldChar w:fldCharType="end"/>
          </w:r>
        </w:p>
      </w:sdtContent>
    </w:sdt>
    <w:p w14:paraId="7842B22F" w14:textId="7F13F071" w:rsidR="0032556D" w:rsidRDefault="0032556D" w:rsidP="001A4959">
      <w:pPr>
        <w:jc w:val="left"/>
      </w:pPr>
    </w:p>
    <w:p w14:paraId="31BAA3BF" w14:textId="77777777" w:rsidR="00F053B1" w:rsidRDefault="00F053B1" w:rsidP="00D3700F">
      <w:pPr>
        <w:spacing w:after="40"/>
        <w:jc w:val="center"/>
      </w:pPr>
    </w:p>
    <w:p w14:paraId="602894CD" w14:textId="77777777" w:rsidR="00017D16" w:rsidRDefault="00017D16" w:rsidP="00D3700F">
      <w:pPr>
        <w:spacing w:after="40"/>
        <w:jc w:val="center"/>
        <w:sectPr w:rsidR="00017D16" w:rsidSect="00017D16">
          <w:headerReference w:type="first" r:id="rId17"/>
          <w:footerReference w:type="first" r:id="rId18"/>
          <w:pgSz w:w="12240" w:h="15840" w:code="1"/>
          <w:pgMar w:top="720" w:right="720" w:bottom="720" w:left="720" w:header="720" w:footer="720" w:gutter="0"/>
          <w:pgNumType w:fmt="lowerRoman" w:start="1"/>
          <w:cols w:space="720"/>
          <w:titlePg/>
        </w:sectPr>
      </w:pPr>
    </w:p>
    <w:p w14:paraId="0FE16214" w14:textId="77777777" w:rsidR="0032556D" w:rsidRDefault="005F2C78" w:rsidP="001A4959">
      <w:pPr>
        <w:pStyle w:val="Heading2"/>
      </w:pPr>
      <w:bookmarkStart w:id="2" w:name="_Toc30012876"/>
      <w:bookmarkStart w:id="3" w:name="_Toc138852516"/>
      <w:r>
        <w:lastRenderedPageBreak/>
        <w:t>DEFINITIONS, GENERAL PROVISIONS, AND AMOUNT OF INSURANCE</w:t>
      </w:r>
      <w:bookmarkEnd w:id="2"/>
      <w:bookmarkEnd w:id="3"/>
    </w:p>
    <w:p w14:paraId="547C586E" w14:textId="77777777" w:rsidR="0032556D" w:rsidRDefault="0032556D" w:rsidP="001A4959">
      <w:pPr>
        <w:pStyle w:val="Heading3"/>
      </w:pPr>
      <w:bookmarkStart w:id="4" w:name="_Toc30012877"/>
      <w:bookmarkStart w:id="5" w:name="_Toc138852517"/>
      <w:r w:rsidRPr="00E72267">
        <w:t>Definitions</w:t>
      </w:r>
      <w:bookmarkEnd w:id="4"/>
      <w:bookmarkEnd w:id="5"/>
    </w:p>
    <w:p w14:paraId="41595285" w14:textId="77777777" w:rsidR="0032556D" w:rsidRDefault="0032556D" w:rsidP="001A4959">
      <w:pPr>
        <w:pStyle w:val="Heading4"/>
      </w:pPr>
      <w:r>
        <w:rPr>
          <w:b/>
        </w:rPr>
        <w:t xml:space="preserve">ALTA – </w:t>
      </w:r>
      <w:r>
        <w:t>American Land Title Association</w:t>
      </w:r>
    </w:p>
    <w:p w14:paraId="1ABF9B00" w14:textId="2FFA372B" w:rsidR="0032556D" w:rsidRDefault="004166EE" w:rsidP="001A4959">
      <w:pPr>
        <w:pStyle w:val="Heading4"/>
      </w:pPr>
      <w:r w:rsidRPr="004166EE">
        <w:rPr>
          <w:b/>
        </w:rPr>
        <w:t>A</w:t>
      </w:r>
      <w:r w:rsidR="00B85AB6">
        <w:rPr>
          <w:b/>
        </w:rPr>
        <w:t>dvocus</w:t>
      </w:r>
      <w:r w:rsidR="0032556D">
        <w:t xml:space="preserve"> – </w:t>
      </w:r>
      <w:r w:rsidR="00BF09BE" w:rsidRPr="00BF09BE">
        <w:t>Advocus National Title Insurance Company</w:t>
      </w:r>
    </w:p>
    <w:p w14:paraId="43AA0AF1" w14:textId="77777777" w:rsidR="0032556D" w:rsidRDefault="0032556D" w:rsidP="001A4959">
      <w:pPr>
        <w:pStyle w:val="Heading4"/>
      </w:pPr>
      <w:r w:rsidRPr="00D97A2B">
        <w:rPr>
          <w:b/>
        </w:rPr>
        <w:t>Bifurcated Owner</w:t>
      </w:r>
      <w:r w:rsidR="00E346A5">
        <w:rPr>
          <w:b/>
        </w:rPr>
        <w:t>’s</w:t>
      </w:r>
      <w:r w:rsidRPr="00D97A2B">
        <w:rPr>
          <w:b/>
        </w:rPr>
        <w:t xml:space="preserve"> and Loan Policy</w:t>
      </w:r>
      <w:r>
        <w:t xml:space="preserve"> – This is a buy/sell transaction where the Owner</w:t>
      </w:r>
      <w:r w:rsidR="00E346A5">
        <w:t>’s</w:t>
      </w:r>
      <w:r>
        <w:t xml:space="preserve"> Policy and Loan Policy are issued by different underwriters authorized to issue title insurance in Wisconsin. </w:t>
      </w:r>
    </w:p>
    <w:p w14:paraId="6D72A560" w14:textId="77777777" w:rsidR="00FD7195" w:rsidRDefault="00FD7195" w:rsidP="001A4959">
      <w:pPr>
        <w:pStyle w:val="Heading4"/>
      </w:pPr>
      <w:r w:rsidRPr="00FD7195">
        <w:rPr>
          <w:b/>
        </w:rPr>
        <w:t>Commitment</w:t>
      </w:r>
      <w:r w:rsidRPr="00FD7195">
        <w:t xml:space="preserve"> – A Commitment of title insurance is a preliminary report outlining the status of a property as of the effective date, which identifies requirem</w:t>
      </w:r>
      <w:r>
        <w:t>ents and exceptions to title.</w:t>
      </w:r>
    </w:p>
    <w:p w14:paraId="623F4E4E" w14:textId="32253B9A" w:rsidR="00FD7195" w:rsidRPr="00FD7195" w:rsidRDefault="00FD7195" w:rsidP="001A4959">
      <w:pPr>
        <w:pStyle w:val="Heading4"/>
      </w:pPr>
      <w:r w:rsidRPr="00FD7195">
        <w:rPr>
          <w:b/>
        </w:rPr>
        <w:t>Escrow Agent</w:t>
      </w:r>
      <w:r w:rsidRPr="00FD7195">
        <w:t xml:space="preserve"> –</w:t>
      </w:r>
      <w:r w:rsidR="00E346A5">
        <w:t xml:space="preserve"> </w:t>
      </w:r>
      <w:r w:rsidR="00E346A5" w:rsidRPr="00FD7195">
        <w:t xml:space="preserve">An </w:t>
      </w:r>
      <w:r w:rsidRPr="00FD7195">
        <w:t xml:space="preserve">individual authorized by </w:t>
      </w:r>
      <w:r w:rsidR="00B94DF7">
        <w:t>Advocus</w:t>
      </w:r>
      <w:r w:rsidRPr="00FD7195">
        <w:t xml:space="preserve"> to issue title insurance and to perform real estate closing services on behalf of </w:t>
      </w:r>
      <w:r w:rsidR="00B94DF7">
        <w:t>Advocus</w:t>
      </w:r>
      <w:r w:rsidRPr="00FD7195">
        <w:t>.</w:t>
      </w:r>
    </w:p>
    <w:p w14:paraId="31ABFF0C" w14:textId="28C7C098" w:rsidR="0032556D" w:rsidRDefault="0032556D" w:rsidP="001A4959">
      <w:pPr>
        <w:pStyle w:val="Heading4"/>
      </w:pPr>
      <w:r w:rsidRPr="5C4D234D">
        <w:rPr>
          <w:b/>
          <w:bCs/>
        </w:rPr>
        <w:t>Junior Loan Policy</w:t>
      </w:r>
      <w:r>
        <w:t xml:space="preserve"> – A Junior Loan Policy of title</w:t>
      </w:r>
      <w:r w:rsidR="00202638">
        <w:t xml:space="preserve"> insurance</w:t>
      </w:r>
      <w:r>
        <w:t xml:space="preserve"> insuring a mortgage securing a loan </w:t>
      </w:r>
      <w:r w:rsidR="4A126E2A">
        <w:t xml:space="preserve">for residential property </w:t>
      </w:r>
      <w:r>
        <w:t xml:space="preserve">that is junior or subordinate to another mortgage or loan. </w:t>
      </w:r>
    </w:p>
    <w:p w14:paraId="2E643ABD" w14:textId="3894A3E0" w:rsidR="0032556D" w:rsidRDefault="0032556D" w:rsidP="001A4959">
      <w:pPr>
        <w:pStyle w:val="Heading4"/>
      </w:pPr>
      <w:r w:rsidRPr="00271F35">
        <w:rPr>
          <w:b/>
        </w:rPr>
        <w:t>Leasehold Policy</w:t>
      </w:r>
      <w:r w:rsidR="00202638">
        <w:t xml:space="preserve"> – A Leasehold Owner’s Policy </w:t>
      </w:r>
      <w:r>
        <w:t>insures a tenant’s interest in real estate. A Leasehold Lo</w:t>
      </w:r>
      <w:r w:rsidR="00202638">
        <w:t xml:space="preserve">an Policy </w:t>
      </w:r>
      <w:r>
        <w:t xml:space="preserve">insures a leasehold mortgage interest securing a tenant’s loan. Both the Leasehold </w:t>
      </w:r>
      <w:r w:rsidR="00E346A5">
        <w:t xml:space="preserve">Owner’s </w:t>
      </w:r>
      <w:r>
        <w:t>and Leasehold Loan policies are subject to exclusions, exceptions, conditions, stipulations</w:t>
      </w:r>
      <w:r w:rsidR="004166EE">
        <w:t>,</w:t>
      </w:r>
      <w:r>
        <w:t xml:space="preserve"> and endorsements. </w:t>
      </w:r>
    </w:p>
    <w:p w14:paraId="395FA55D" w14:textId="2B44D2CF" w:rsidR="00F71021" w:rsidRPr="00F71021" w:rsidRDefault="00F71021" w:rsidP="00F71021">
      <w:pPr>
        <w:pStyle w:val="Heading4"/>
        <w:rPr>
          <w:bCs/>
        </w:rPr>
      </w:pPr>
      <w:r>
        <w:rPr>
          <w:b/>
        </w:rPr>
        <w:t xml:space="preserve">Limited Search </w:t>
      </w:r>
      <w:r w:rsidRPr="00F71021">
        <w:rPr>
          <w:bCs/>
        </w:rPr>
        <w:t xml:space="preserve">– A search and examination started </w:t>
      </w:r>
      <w:r w:rsidR="0021197F" w:rsidRPr="00F71021">
        <w:rPr>
          <w:bCs/>
        </w:rPr>
        <w:t xml:space="preserve">from a previous issued policy </w:t>
      </w:r>
      <w:r w:rsidRPr="00F71021">
        <w:rPr>
          <w:bCs/>
        </w:rPr>
        <w:t xml:space="preserve">that is acceptable to </w:t>
      </w:r>
      <w:r w:rsidR="00B94DF7">
        <w:rPr>
          <w:bCs/>
        </w:rPr>
        <w:t>Advocus</w:t>
      </w:r>
      <w:r w:rsidRPr="00F71021">
        <w:rPr>
          <w:bCs/>
        </w:rPr>
        <w:t>.</w:t>
      </w:r>
    </w:p>
    <w:p w14:paraId="562E3428" w14:textId="2A328460" w:rsidR="0032556D" w:rsidRDefault="0032556D" w:rsidP="001A4959">
      <w:pPr>
        <w:pStyle w:val="Heading4"/>
      </w:pPr>
      <w:r>
        <w:rPr>
          <w:b/>
        </w:rPr>
        <w:t>Loan Policy</w:t>
      </w:r>
      <w:r w:rsidR="00202638">
        <w:t xml:space="preserve"> – The Loan Policy</w:t>
      </w:r>
      <w:r>
        <w:t xml:space="preserve"> </w:t>
      </w:r>
      <w:r w:rsidR="00202638">
        <w:t xml:space="preserve">insures </w:t>
      </w:r>
      <w:r>
        <w:t>a mortgage securing a loan subject to exclusions, exceptions, conditions, stipulations</w:t>
      </w:r>
      <w:r w:rsidR="004166EE">
        <w:t>,</w:t>
      </w:r>
      <w:r>
        <w:t xml:space="preserve"> and endorsements. The Loan Policy currently in use was created by ALTA in 1970 and then revised in 1987, 1990, 1992</w:t>
      </w:r>
      <w:r w:rsidR="00DD0392">
        <w:t>,</w:t>
      </w:r>
      <w:r>
        <w:t xml:space="preserve"> 2006</w:t>
      </w:r>
      <w:r w:rsidR="00F71021">
        <w:t>, and 2021</w:t>
      </w:r>
      <w:r>
        <w:t xml:space="preserve">. </w:t>
      </w:r>
    </w:p>
    <w:p w14:paraId="4593D805" w14:textId="6C5DA864" w:rsidR="0032556D" w:rsidRPr="001F3699" w:rsidRDefault="0032556D" w:rsidP="001A4959">
      <w:pPr>
        <w:pStyle w:val="Heading4"/>
      </w:pPr>
      <w:r>
        <w:rPr>
          <w:b/>
        </w:rPr>
        <w:t xml:space="preserve">Master </w:t>
      </w:r>
      <w:r w:rsidR="00202638">
        <w:rPr>
          <w:b/>
        </w:rPr>
        <w:t xml:space="preserve">Owner’s </w:t>
      </w:r>
      <w:r>
        <w:rPr>
          <w:b/>
        </w:rPr>
        <w:t>Policy</w:t>
      </w:r>
      <w:r>
        <w:t xml:space="preserve"> – An </w:t>
      </w:r>
      <w:r w:rsidR="00202638">
        <w:t>Owner’s Policy of title insurance</w:t>
      </w:r>
      <w:r>
        <w:t xml:space="preserve"> insuring a parcel of land divided or to be divided into two or more parcels of real estate </w:t>
      </w:r>
      <w:r w:rsidR="00202638">
        <w:t xml:space="preserve">for </w:t>
      </w:r>
      <w:r w:rsidR="0021197F">
        <w:t xml:space="preserve">the </w:t>
      </w:r>
      <w:r w:rsidR="00202638">
        <w:t>subdivision</w:t>
      </w:r>
      <w:r w:rsidR="0021197F">
        <w:t xml:space="preserve"> of residential or non-residential property, including</w:t>
      </w:r>
      <w:r w:rsidR="00202638">
        <w:t xml:space="preserve"> condominium, </w:t>
      </w:r>
      <w:r w:rsidR="0021197F">
        <w:t>f</w:t>
      </w:r>
      <w:r w:rsidR="00202638">
        <w:t>or resale by the same individual, corporation, corporation controlled by the same individual, or other legal entity</w:t>
      </w:r>
      <w:r w:rsidRPr="001F3699">
        <w:t xml:space="preserve">. </w:t>
      </w:r>
    </w:p>
    <w:p w14:paraId="53D30A76" w14:textId="77777777" w:rsidR="0032556D" w:rsidRDefault="0032556D" w:rsidP="001A4959">
      <w:pPr>
        <w:pStyle w:val="Heading4"/>
      </w:pPr>
      <w:r>
        <w:rPr>
          <w:b/>
        </w:rPr>
        <w:t>Non-Residential Property</w:t>
      </w:r>
      <w:r>
        <w:t xml:space="preserve"> – Any type of property that does not meet the definition of Residential Property. </w:t>
      </w:r>
    </w:p>
    <w:p w14:paraId="6245381E" w14:textId="1C895915" w:rsidR="0032556D" w:rsidRDefault="00202638" w:rsidP="001A4959">
      <w:pPr>
        <w:pStyle w:val="Heading4"/>
      </w:pPr>
      <w:r>
        <w:rPr>
          <w:b/>
        </w:rPr>
        <w:t xml:space="preserve">Owner’s </w:t>
      </w:r>
      <w:r w:rsidR="0032556D">
        <w:rPr>
          <w:b/>
        </w:rPr>
        <w:t>Policy</w:t>
      </w:r>
      <w:r w:rsidR="0032556D">
        <w:t xml:space="preserve"> – The Owner</w:t>
      </w:r>
      <w:r>
        <w:t xml:space="preserve">’s Policy </w:t>
      </w:r>
      <w:r w:rsidR="0032556D">
        <w:t>insure</w:t>
      </w:r>
      <w:r>
        <w:t>s</w:t>
      </w:r>
      <w:r w:rsidR="0032556D">
        <w:t xml:space="preserve"> title to a purchaser subject to exclusions, exceptions, conditions, stipulations</w:t>
      </w:r>
      <w:r w:rsidR="004166EE">
        <w:t>,</w:t>
      </w:r>
      <w:r w:rsidR="0032556D">
        <w:t xml:space="preserve"> and endorsements. The Owner</w:t>
      </w:r>
      <w:r>
        <w:t>’s</w:t>
      </w:r>
      <w:r w:rsidR="0032556D">
        <w:t xml:space="preserve"> Policy currently in use was created by ALTA in 1970 and then revised in 1987, 1990, 1992</w:t>
      </w:r>
      <w:r w:rsidR="00705138">
        <w:t>,</w:t>
      </w:r>
      <w:r w:rsidR="0032556D">
        <w:t xml:space="preserve"> 2006</w:t>
      </w:r>
      <w:r w:rsidR="0021197F">
        <w:t>, and 2021</w:t>
      </w:r>
      <w:r w:rsidR="0032556D">
        <w:t xml:space="preserve">. </w:t>
      </w:r>
    </w:p>
    <w:p w14:paraId="1486BC48" w14:textId="7820C615" w:rsidR="0032556D" w:rsidRDefault="0032556D" w:rsidP="001A4959">
      <w:pPr>
        <w:pStyle w:val="Heading4"/>
      </w:pPr>
      <w:r w:rsidRPr="00202638">
        <w:rPr>
          <w:b/>
        </w:rPr>
        <w:t>Prior Policy</w:t>
      </w:r>
      <w:r>
        <w:t xml:space="preserve"> – A policy of title insurance that was issued by </w:t>
      </w:r>
      <w:r w:rsidR="00B94DF7">
        <w:t>Advocus</w:t>
      </w:r>
      <w:r>
        <w:t xml:space="preserve"> or another title insurance company </w:t>
      </w:r>
      <w:r w:rsidRPr="00202638">
        <w:t>authorized</w:t>
      </w:r>
      <w:r>
        <w:t xml:space="preserve"> to transact business in Wisconsin, excluding a Short Form </w:t>
      </w:r>
      <w:r w:rsidR="00202638">
        <w:t>Loan</w:t>
      </w:r>
      <w:r>
        <w:t xml:space="preserve"> Policy. A prior policy insures the same property to be insured under a policy issued or to be issued by </w:t>
      </w:r>
      <w:r w:rsidR="00B94DF7">
        <w:t>Advocus</w:t>
      </w:r>
      <w:r>
        <w:t xml:space="preserve">. Prior Policy does not include a commitment for title insurance for which no policy or policies have actually been issued. </w:t>
      </w:r>
    </w:p>
    <w:p w14:paraId="0FF1C06B" w14:textId="5C2B4961" w:rsidR="00634AB6" w:rsidRPr="00634AB6" w:rsidRDefault="00634AB6" w:rsidP="001A4959">
      <w:pPr>
        <w:pStyle w:val="Heading4"/>
      </w:pPr>
      <w:r>
        <w:rPr>
          <w:b/>
        </w:rPr>
        <w:t xml:space="preserve">Purchase Money Mortgage </w:t>
      </w:r>
      <w:r w:rsidRPr="00634AB6">
        <w:rPr>
          <w:b/>
        </w:rPr>
        <w:t xml:space="preserve">– </w:t>
      </w:r>
      <w:r w:rsidRPr="00634AB6">
        <w:t>A type of mortgage that secures a lien on real property where all or part of the loan principal is used to acquire the property.</w:t>
      </w:r>
    </w:p>
    <w:p w14:paraId="486F8D6E" w14:textId="77777777" w:rsidR="00FD7195" w:rsidRPr="00FD7195" w:rsidRDefault="00FD7195" w:rsidP="001A4959">
      <w:pPr>
        <w:pStyle w:val="Heading4"/>
      </w:pPr>
      <w:r w:rsidRPr="00FD7195">
        <w:rPr>
          <w:b/>
        </w:rPr>
        <w:t>Reinsurance</w:t>
      </w:r>
      <w:r w:rsidRPr="00FD7195">
        <w:t xml:space="preserve"> – Excess insurance in which a reinsurer assumes liability only for an </w:t>
      </w:r>
      <w:r w:rsidR="00C65AEB">
        <w:t>Amount of Insurance</w:t>
      </w:r>
      <w:r w:rsidRPr="00FD7195">
        <w:t xml:space="preserve"> that exceeds a specified sum.</w:t>
      </w:r>
    </w:p>
    <w:p w14:paraId="7A919684" w14:textId="09E38166" w:rsidR="0032556D" w:rsidRDefault="0032556D" w:rsidP="001A4959">
      <w:pPr>
        <w:pStyle w:val="Heading4"/>
      </w:pPr>
      <w:r>
        <w:rPr>
          <w:b/>
        </w:rPr>
        <w:t>Residential Property</w:t>
      </w:r>
      <w:r>
        <w:t xml:space="preserve"> – </w:t>
      </w:r>
      <w:r w:rsidR="00202638">
        <w:t xml:space="preserve">An improved property containing 1-4 family </w:t>
      </w:r>
      <w:r w:rsidR="0021197F">
        <w:t xml:space="preserve">owner or non-owner occupied </w:t>
      </w:r>
      <w:r w:rsidR="00202638">
        <w:t xml:space="preserve">dwelling </w:t>
      </w:r>
      <w:r w:rsidR="007775F7">
        <w:t>units and</w:t>
      </w:r>
      <w:r w:rsidR="00202638">
        <w:t xml:space="preserve"> is further defined to include no more than four vacant lots in a residential subdivision or no more than four undeveloped units in a residential condominium development</w:t>
      </w:r>
      <w:r w:rsidR="008D545D">
        <w:t>.</w:t>
      </w:r>
      <w:r>
        <w:t xml:space="preserve"> </w:t>
      </w:r>
    </w:p>
    <w:p w14:paraId="3E4832D3" w14:textId="77777777" w:rsidR="0032556D" w:rsidRDefault="0032556D" w:rsidP="001A4959">
      <w:pPr>
        <w:pStyle w:val="Heading4"/>
      </w:pPr>
      <w:r w:rsidRPr="00D0794B">
        <w:rPr>
          <w:b/>
        </w:rPr>
        <w:t>Residential Refinance Loan Policy</w:t>
      </w:r>
      <w:r>
        <w:t xml:space="preserve"> – A Loan Policy of title insurance insuring a mortgage</w:t>
      </w:r>
      <w:r w:rsidR="004166EE">
        <w:t>,</w:t>
      </w:r>
      <w:r>
        <w:t xml:space="preserve"> which secures a new loan that is intended to satisfy the balance of an existing loan contract, to the same borrower or land contract purchaser. </w:t>
      </w:r>
      <w:r w:rsidR="008D545D" w:rsidRPr="008D545D">
        <w:t>This definition includes, but is not limited to, a mortgage given to pay off a construction mortgage</w:t>
      </w:r>
      <w:r w:rsidR="00A91912">
        <w:t>,</w:t>
      </w:r>
      <w:r w:rsidR="008D545D" w:rsidRPr="008D545D">
        <w:t xml:space="preserve"> a mortgage that is given to refinance an existing mortgage</w:t>
      </w:r>
      <w:r w:rsidR="00A91912">
        <w:t>,</w:t>
      </w:r>
      <w:r w:rsidR="008D545D" w:rsidRPr="008D545D">
        <w:t xml:space="preserve"> and a mortgage of property that has no existing open mortgages.</w:t>
      </w:r>
    </w:p>
    <w:p w14:paraId="72D29FA4" w14:textId="127D4F32" w:rsidR="0032556D" w:rsidRDefault="0032556D" w:rsidP="001A4959">
      <w:pPr>
        <w:pStyle w:val="Heading4"/>
      </w:pPr>
      <w:r>
        <w:rPr>
          <w:b/>
        </w:rPr>
        <w:t>Short Form Residential Loan Policy</w:t>
      </w:r>
      <w:r>
        <w:t xml:space="preserve"> – The </w:t>
      </w:r>
      <w:r w:rsidR="00B94DF7">
        <w:t>Advocus</w:t>
      </w:r>
      <w:r>
        <w:t xml:space="preserve"> Short Form Policy is a condensed version of the Residential Refinance Loan Policy. It incorporates</w:t>
      </w:r>
      <w:r w:rsidR="004166EE">
        <w:t>,</w:t>
      </w:r>
      <w:r>
        <w:t xml:space="preserve"> by reference</w:t>
      </w:r>
      <w:r w:rsidR="004166EE">
        <w:t>,</w:t>
      </w:r>
      <w:r>
        <w:t xml:space="preserve"> the insuring provisions, exclusions from coverage, conditions</w:t>
      </w:r>
      <w:r w:rsidR="004166EE">
        <w:t>,</w:t>
      </w:r>
      <w:r>
        <w:t xml:space="preserve"> and stipulations of the Loan Policy. A Short Form Residential Loan policy may only be used in refinance transactions. </w:t>
      </w:r>
    </w:p>
    <w:p w14:paraId="1543525D" w14:textId="77777777" w:rsidR="0032556D" w:rsidRDefault="0032556D" w:rsidP="001A4959">
      <w:pPr>
        <w:pStyle w:val="Heading4"/>
      </w:pPr>
      <w:r>
        <w:rPr>
          <w:b/>
        </w:rPr>
        <w:lastRenderedPageBreak/>
        <w:t>Simultaneous Issue</w:t>
      </w:r>
      <w:r>
        <w:t xml:space="preserve"> – A Loan Policy or Leasehold Loan Policy of title insurance issued or to be issued as part of the same transaction insuring the same parcel or parcels for which an Owner</w:t>
      </w:r>
      <w:r w:rsidR="00202638">
        <w:t>’s</w:t>
      </w:r>
      <w:r>
        <w:t xml:space="preserve"> Policy or Leasehold </w:t>
      </w:r>
      <w:r w:rsidR="00202638">
        <w:t>Owner’s Policy</w:t>
      </w:r>
      <w:r>
        <w:t xml:space="preserve"> of title insurance has been or will be issued. </w:t>
      </w:r>
    </w:p>
    <w:p w14:paraId="52BB6FF5" w14:textId="6C3D394E" w:rsidR="0032556D" w:rsidRDefault="0032556D" w:rsidP="001A4959">
      <w:pPr>
        <w:pStyle w:val="Heading4"/>
      </w:pPr>
      <w:r w:rsidRPr="00642893">
        <w:rPr>
          <w:b/>
        </w:rPr>
        <w:t>Take-Off Policy</w:t>
      </w:r>
      <w:r>
        <w:t xml:space="preserve"> – </w:t>
      </w:r>
      <w:r w:rsidR="00CD7133">
        <w:t xml:space="preserve">An Owner’s Policy of title insurance insuring one or more parcels for the sale of a real estate lot or condominium unit, which are part of a subdivision or condominium development included in Schedule A of the Master Policy issued by </w:t>
      </w:r>
      <w:r w:rsidR="00B94DF7">
        <w:t>Advocus</w:t>
      </w:r>
      <w:r>
        <w:t xml:space="preserve">. </w:t>
      </w:r>
    </w:p>
    <w:p w14:paraId="7BC2F05A" w14:textId="77777777" w:rsidR="0032556D" w:rsidRDefault="0032556D" w:rsidP="001A4959">
      <w:pPr>
        <w:pStyle w:val="Heading3"/>
        <w:keepNext/>
      </w:pPr>
      <w:bookmarkStart w:id="6" w:name="_Toc30012878"/>
      <w:bookmarkStart w:id="7" w:name="_Toc138852518"/>
      <w:r>
        <w:t>General Provisions</w:t>
      </w:r>
      <w:bookmarkEnd w:id="6"/>
      <w:bookmarkEnd w:id="7"/>
    </w:p>
    <w:p w14:paraId="008BB18C" w14:textId="504114D5" w:rsidR="0032556D" w:rsidRDefault="0032556D" w:rsidP="001A4959">
      <w:pPr>
        <w:pStyle w:val="Heading4"/>
      </w:pPr>
      <w:r w:rsidRPr="6C372643">
        <w:rPr>
          <w:b/>
          <w:bCs/>
        </w:rPr>
        <w:t>Downward deviations are not permitted.</w:t>
      </w:r>
      <w:r>
        <w:t xml:space="preserve"> The rates contained in this manual are not subject to downward deviations. </w:t>
      </w:r>
      <w:r w:rsidR="00B94DF7">
        <w:t>Advocus</w:t>
      </w:r>
      <w:r>
        <w:t xml:space="preserve"> agents are required to charge a premium amount that is required pursuant to the terms of this rate and rule filing. </w:t>
      </w:r>
    </w:p>
    <w:p w14:paraId="0A26FD49" w14:textId="1AA458D2" w:rsidR="00A91912" w:rsidRDefault="00CD7133" w:rsidP="001A4959">
      <w:pPr>
        <w:pStyle w:val="Heading4"/>
      </w:pPr>
      <w:r w:rsidRPr="00CD7133">
        <w:rPr>
          <w:b/>
        </w:rPr>
        <w:tab/>
        <w:t xml:space="preserve">Underwriting co-examination and rate approval needed prior to </w:t>
      </w:r>
      <w:r w:rsidR="00634AB6" w:rsidRPr="00CD7133">
        <w:rPr>
          <w:b/>
        </w:rPr>
        <w:t xml:space="preserve">issuance </w:t>
      </w:r>
      <w:r w:rsidRPr="00CD7133">
        <w:rPr>
          <w:b/>
        </w:rPr>
        <w:t>of Commitments in excess of $</w:t>
      </w:r>
      <w:r w:rsidR="00D40336">
        <w:rPr>
          <w:b/>
        </w:rPr>
        <w:t>3</w:t>
      </w:r>
      <w:r w:rsidRPr="00CD7133">
        <w:rPr>
          <w:b/>
        </w:rPr>
        <w:t>,</w:t>
      </w:r>
      <w:r w:rsidR="00D40336">
        <w:rPr>
          <w:b/>
        </w:rPr>
        <w:t>0</w:t>
      </w:r>
      <w:r w:rsidRPr="00CD7133">
        <w:rPr>
          <w:b/>
        </w:rPr>
        <w:t>00,000.</w:t>
      </w:r>
      <w:r>
        <w:rPr>
          <w:b/>
        </w:rPr>
        <w:t xml:space="preserve"> </w:t>
      </w:r>
      <w:r w:rsidRPr="00CD7133">
        <w:t>Proposed Commitm</w:t>
      </w:r>
      <w:r>
        <w:t>ents in excess of $</w:t>
      </w:r>
      <w:r w:rsidR="00D40336">
        <w:t>3</w:t>
      </w:r>
      <w:r>
        <w:t>,</w:t>
      </w:r>
      <w:r w:rsidR="00D40336">
        <w:t>0</w:t>
      </w:r>
      <w:r>
        <w:t>00,000</w:t>
      </w:r>
      <w:r w:rsidRPr="00CD7133">
        <w:t xml:space="preserve"> require underwriting co-examination and rate approval from the </w:t>
      </w:r>
      <w:r w:rsidR="00B94DF7">
        <w:t>Advocus</w:t>
      </w:r>
      <w:r w:rsidR="0021305C">
        <w:t xml:space="preserve"> </w:t>
      </w:r>
      <w:r w:rsidRPr="00CD7133">
        <w:t>Wisconsin office.</w:t>
      </w:r>
      <w:r>
        <w:t xml:space="preserve"> </w:t>
      </w:r>
      <w:r w:rsidRPr="00CD7133">
        <w:t>The complete search</w:t>
      </w:r>
      <w:r>
        <w:t>,</w:t>
      </w:r>
      <w:r w:rsidRPr="00CD7133">
        <w:t xml:space="preserve"> including recorded documents and prior policy, if available, must be submitted for underwriting review.</w:t>
      </w:r>
    </w:p>
    <w:p w14:paraId="14CFA08E" w14:textId="77777777" w:rsidR="0032556D" w:rsidRDefault="0032556D" w:rsidP="001A4959">
      <w:pPr>
        <w:pStyle w:val="Heading4"/>
      </w:pPr>
      <w:r>
        <w:rPr>
          <w:b/>
        </w:rPr>
        <w:t>Multiple parcels, single policy.</w:t>
      </w:r>
      <w:r>
        <w:t xml:space="preserve"> Policies that insure two or more parcels shall be subject to additional charges for search and examination. The </w:t>
      </w:r>
      <w:r w:rsidR="00C65AEB">
        <w:t>Amount of Insurance</w:t>
      </w:r>
      <w:r>
        <w:t xml:space="preserve"> will be based on the </w:t>
      </w:r>
      <w:r w:rsidR="004166EE">
        <w:t xml:space="preserve">Insured’s </w:t>
      </w:r>
      <w:r>
        <w:t xml:space="preserve">estimate of the total value of the multiple parcels. </w:t>
      </w:r>
    </w:p>
    <w:p w14:paraId="7C4F2E0D" w14:textId="17655F8A" w:rsidR="0032556D" w:rsidRDefault="0032556D" w:rsidP="001A4959">
      <w:pPr>
        <w:pStyle w:val="Heading4"/>
      </w:pPr>
      <w:r>
        <w:rPr>
          <w:b/>
        </w:rPr>
        <w:t>Additional Charges.</w:t>
      </w:r>
      <w:r>
        <w:t xml:space="preserve"> </w:t>
      </w:r>
      <w:r w:rsidR="00B94DF7">
        <w:t>Advocus</w:t>
      </w:r>
      <w:r>
        <w:t xml:space="preserve"> reserves the right to make additional charges</w:t>
      </w:r>
      <w:r w:rsidR="00CD7133">
        <w:t>,</w:t>
      </w:r>
      <w:r>
        <w:t xml:space="preserve"> as needed</w:t>
      </w:r>
      <w:r w:rsidR="00CD7133">
        <w:t>,</w:t>
      </w:r>
      <w:r>
        <w:t xml:space="preserve"> to properly compensate </w:t>
      </w:r>
      <w:r w:rsidR="00B94DF7">
        <w:t>Advocus</w:t>
      </w:r>
      <w:r>
        <w:t xml:space="preserve"> and/or its agents for unusual circumstances, additional work</w:t>
      </w:r>
      <w:r w:rsidR="004166EE">
        <w:t>,</w:t>
      </w:r>
      <w:r>
        <w:t xml:space="preserve"> or extraordinary risk. The additional charge will give due consideration to loss and expense</w:t>
      </w:r>
      <w:r w:rsidR="00D87AB9">
        <w:t>,</w:t>
      </w:r>
      <w:r>
        <w:t xml:space="preserve"> experience, character of risk assumed</w:t>
      </w:r>
      <w:r w:rsidR="004166EE">
        <w:t>,</w:t>
      </w:r>
      <w:r>
        <w:t xml:space="preserve"> and other relevant factors. </w:t>
      </w:r>
    </w:p>
    <w:p w14:paraId="04A6B5B4" w14:textId="01FD5F7E" w:rsidR="0032556D" w:rsidRDefault="0032556D" w:rsidP="001A4959">
      <w:pPr>
        <w:pStyle w:val="Heading4"/>
      </w:pPr>
      <w:r>
        <w:rPr>
          <w:b/>
        </w:rPr>
        <w:t>Binding obligation to issue policy.</w:t>
      </w:r>
      <w:r>
        <w:t xml:space="preserve"> </w:t>
      </w:r>
      <w:r w:rsidR="00B94DF7">
        <w:t>Advocus</w:t>
      </w:r>
      <w:r>
        <w:t xml:space="preserve"> has a binding obligation to issue a policy when the requirements of the </w:t>
      </w:r>
      <w:r w:rsidR="00634AB6">
        <w:t xml:space="preserve">Commitment </w:t>
      </w:r>
      <w:r>
        <w:t xml:space="preserve">have been fulfilled and all appropriate fees have been collected. </w:t>
      </w:r>
    </w:p>
    <w:p w14:paraId="779536CB" w14:textId="27722D66" w:rsidR="00D87AB9" w:rsidRPr="00D87AB9" w:rsidRDefault="00D87AB9" w:rsidP="001A4959">
      <w:pPr>
        <w:pStyle w:val="Heading4"/>
      </w:pPr>
      <w:r w:rsidRPr="00D87AB9">
        <w:rPr>
          <w:b/>
          <w:bCs/>
        </w:rPr>
        <w:t>Search Fee</w:t>
      </w:r>
      <w:r>
        <w:t xml:space="preserve">. At the discretion of the </w:t>
      </w:r>
      <w:r w:rsidR="00797827">
        <w:t>title agent</w:t>
      </w:r>
      <w:r>
        <w:t xml:space="preserve">, a search fee may be charged for search services rendered. The fee is not part of the premium to be split with </w:t>
      </w:r>
      <w:r w:rsidR="00B94DF7">
        <w:t>Advocus</w:t>
      </w:r>
      <w:r>
        <w:t xml:space="preserve"> for title insurance coverage.</w:t>
      </w:r>
    </w:p>
    <w:p w14:paraId="23201E40" w14:textId="6F780D73" w:rsidR="0032556D" w:rsidRDefault="0032556D" w:rsidP="001A4959">
      <w:pPr>
        <w:pStyle w:val="Heading4"/>
      </w:pPr>
      <w:r>
        <w:rPr>
          <w:b/>
        </w:rPr>
        <w:t>Reinsurance</w:t>
      </w:r>
      <w:r w:rsidR="00A91912" w:rsidRPr="00A91912">
        <w:t xml:space="preserve"> </w:t>
      </w:r>
      <w:r w:rsidR="00797827">
        <w:rPr>
          <w:b/>
        </w:rPr>
        <w:t>Fees</w:t>
      </w:r>
      <w:r w:rsidR="00A91912">
        <w:rPr>
          <w:b/>
        </w:rPr>
        <w:t>.</w:t>
      </w:r>
      <w:r>
        <w:t xml:space="preserve"> </w:t>
      </w:r>
      <w:r w:rsidR="00797827">
        <w:t xml:space="preserve">For all policies in excess of $3,000,000, </w:t>
      </w:r>
      <w:r w:rsidR="00B94DF7">
        <w:t>Advocus</w:t>
      </w:r>
      <w:r w:rsidR="00797827">
        <w:t xml:space="preserve"> rese</w:t>
      </w:r>
      <w:r>
        <w:t xml:space="preserve">rves the right to charge </w:t>
      </w:r>
      <w:r w:rsidR="00797827">
        <w:t xml:space="preserve">an additional </w:t>
      </w:r>
      <w:r>
        <w:t xml:space="preserve">premium for reinsurance </w:t>
      </w:r>
      <w:r w:rsidR="00797827">
        <w:t>expenses. The additional premium will not be part of the title agent premium split</w:t>
      </w:r>
      <w:r>
        <w:t xml:space="preserve">. </w:t>
      </w:r>
      <w:r w:rsidR="00797827">
        <w:t xml:space="preserve">The amount of additional premium charged will be determined by </w:t>
      </w:r>
      <w:r w:rsidR="00B94DF7">
        <w:t>Advocus</w:t>
      </w:r>
      <w:r w:rsidR="00797827">
        <w:t>.</w:t>
      </w:r>
    </w:p>
    <w:p w14:paraId="22354FC0" w14:textId="77777777" w:rsidR="00EE3DC2" w:rsidRPr="00A91912" w:rsidRDefault="00EE3DC2" w:rsidP="001A4959">
      <w:pPr>
        <w:pStyle w:val="Heading4"/>
      </w:pPr>
      <w:r w:rsidRPr="00EE3DC2">
        <w:rPr>
          <w:b/>
        </w:rPr>
        <w:t>Calculation of Title Premium</w:t>
      </w:r>
      <w:r w:rsidRPr="00A91912">
        <w:t>. Liability amounts shall be r</w:t>
      </w:r>
      <w:r w:rsidR="00CD7133">
        <w:t>ounded up to the nearest $1,000</w:t>
      </w:r>
      <w:r w:rsidRPr="00A91912">
        <w:t xml:space="preserve"> of title insurance. All rates and charges shall be rounded up to the nearest whole dollar at the final calculation.</w:t>
      </w:r>
    </w:p>
    <w:p w14:paraId="72412BB3" w14:textId="77777777" w:rsidR="0032556D" w:rsidRDefault="0032556D" w:rsidP="001A4959">
      <w:pPr>
        <w:pStyle w:val="Heading3"/>
      </w:pPr>
      <w:bookmarkStart w:id="8" w:name="_Toc30012879"/>
      <w:bookmarkStart w:id="9" w:name="_Toc138852519"/>
      <w:r>
        <w:t>Amount of Insurance</w:t>
      </w:r>
      <w:bookmarkEnd w:id="8"/>
      <w:bookmarkEnd w:id="9"/>
    </w:p>
    <w:p w14:paraId="49365FA6" w14:textId="77777777" w:rsidR="0032556D" w:rsidRDefault="00202638" w:rsidP="001A4959">
      <w:pPr>
        <w:pStyle w:val="Heading4"/>
      </w:pPr>
      <w:r>
        <w:rPr>
          <w:b/>
        </w:rPr>
        <w:t>Owner’s Policy</w:t>
      </w:r>
      <w:r w:rsidR="0032556D">
        <w:t xml:space="preserve"> – </w:t>
      </w:r>
      <w:r w:rsidR="00EE3DC2" w:rsidRPr="00EE3DC2">
        <w:t xml:space="preserve">An </w:t>
      </w:r>
      <w:r>
        <w:t>Owner’s Policy</w:t>
      </w:r>
      <w:r w:rsidR="00EE3DC2" w:rsidRPr="00EE3DC2">
        <w:t>, whether insuring a fee simple estate or an interest in a land contract, must be insured for not less than its fair market value. In a buy/sell transaction to a bona fide purchaser</w:t>
      </w:r>
      <w:r w:rsidR="00EE3DC2">
        <w:t>,</w:t>
      </w:r>
      <w:r w:rsidR="00EE3DC2" w:rsidRPr="00EE3DC2">
        <w:t xml:space="preserve"> the fair market value shall be the full amount of the consideration paid to the seller, including any encumbrances being assumed by the buyer. Lesser estates insured by an </w:t>
      </w:r>
      <w:r>
        <w:t>Owner’s Policy</w:t>
      </w:r>
      <w:r w:rsidR="00EE3DC2" w:rsidRPr="00EE3DC2">
        <w:t>, such as easements, must be insured for not less than the fair market value of the lesser estate.</w:t>
      </w:r>
    </w:p>
    <w:p w14:paraId="46003341" w14:textId="77777777" w:rsidR="0032556D" w:rsidRDefault="0032556D" w:rsidP="001A4959">
      <w:pPr>
        <w:pStyle w:val="Heading4"/>
      </w:pPr>
      <w:r w:rsidRPr="000C17CC">
        <w:rPr>
          <w:b/>
        </w:rPr>
        <w:t>Loan Policy</w:t>
      </w:r>
      <w:r>
        <w:rPr>
          <w:b/>
        </w:rPr>
        <w:t xml:space="preserve"> – </w:t>
      </w:r>
      <w:r>
        <w:t>A Loan Policy, Junior Loan Policy, Residential Refinance Loan Policy, Short Form Loan Residential Policy</w:t>
      </w:r>
      <w:r w:rsidR="005F2C78">
        <w:t>,</w:t>
      </w:r>
      <w:r>
        <w:t xml:space="preserve"> and Leasehold Loan Policy shall be issued for not less than the lesser of:</w:t>
      </w:r>
    </w:p>
    <w:p w14:paraId="10BB1730" w14:textId="77777777" w:rsidR="0032556D" w:rsidRDefault="0032556D" w:rsidP="001A4959">
      <w:pPr>
        <w:pStyle w:val="Heading5"/>
      </w:pPr>
      <w:r w:rsidRPr="000C17CC">
        <w:t>The fair market value of the insured property; or,</w:t>
      </w:r>
    </w:p>
    <w:p w14:paraId="7475465B" w14:textId="72A65E1F" w:rsidR="0032556D" w:rsidRDefault="0032556D" w:rsidP="001A4959">
      <w:pPr>
        <w:pStyle w:val="Heading5"/>
      </w:pPr>
      <w:r>
        <w:t xml:space="preserve">The full amount of the loan as stated in the proposed mortgage related to the insured property. </w:t>
      </w:r>
      <w:r w:rsidR="005E7D46">
        <w:t>If the Loan Policy exceeds the Owner’s Policy for insurance coverage, the amount of additional premium is determined pursuant to Section II, Paragraph G (2).</w:t>
      </w:r>
    </w:p>
    <w:p w14:paraId="5218FA8F" w14:textId="77777777" w:rsidR="0032556D" w:rsidRDefault="0032556D" w:rsidP="001A4959">
      <w:pPr>
        <w:pStyle w:val="Heading4"/>
        <w:keepNext/>
      </w:pPr>
      <w:r>
        <w:rPr>
          <w:b/>
        </w:rPr>
        <w:t xml:space="preserve">Leasehold </w:t>
      </w:r>
      <w:r w:rsidR="00202638">
        <w:rPr>
          <w:b/>
        </w:rPr>
        <w:t>Owner’s Policy</w:t>
      </w:r>
      <w:r>
        <w:t xml:space="preserve"> – A Leasehold </w:t>
      </w:r>
      <w:r w:rsidR="00202638">
        <w:t>Owner’s Policy</w:t>
      </w:r>
      <w:r>
        <w:t xml:space="preserve"> shall be issued for not less than the lesser of:</w:t>
      </w:r>
    </w:p>
    <w:p w14:paraId="23511033" w14:textId="77777777" w:rsidR="0032556D" w:rsidRDefault="0032556D" w:rsidP="001A4959">
      <w:pPr>
        <w:pStyle w:val="Heading5"/>
      </w:pPr>
      <w:r w:rsidRPr="00C979C2">
        <w:t>The agg</w:t>
      </w:r>
      <w:r>
        <w:t>reg</w:t>
      </w:r>
      <w:r w:rsidRPr="00C979C2">
        <w:t>ate rentals payable under the lease or leases; or,</w:t>
      </w:r>
    </w:p>
    <w:p w14:paraId="77E73C9B" w14:textId="77777777" w:rsidR="0032556D" w:rsidRDefault="0032556D" w:rsidP="001A4959">
      <w:pPr>
        <w:pStyle w:val="Heading5"/>
      </w:pPr>
      <w:r>
        <w:t xml:space="preserve">The appraised value of the property or leasehold estate (comparative sales method). </w:t>
      </w:r>
    </w:p>
    <w:p w14:paraId="359F8A41" w14:textId="77777777" w:rsidR="001A4959" w:rsidRDefault="001A4959">
      <w:pPr>
        <w:spacing w:after="0"/>
        <w:jc w:val="left"/>
        <w:rPr>
          <w:rFonts w:ascii="Arial" w:hAnsi="Arial"/>
          <w:b/>
          <w:smallCaps/>
          <w:sz w:val="18"/>
        </w:rPr>
      </w:pPr>
      <w:r>
        <w:br w:type="page"/>
      </w:r>
    </w:p>
    <w:p w14:paraId="7D0CFC78" w14:textId="39F2E09C" w:rsidR="0032556D" w:rsidRPr="00843F05" w:rsidRDefault="0032556D" w:rsidP="001A4959">
      <w:pPr>
        <w:pStyle w:val="Heading2"/>
        <w:keepNext/>
      </w:pPr>
      <w:bookmarkStart w:id="10" w:name="_Toc30012880"/>
      <w:bookmarkStart w:id="11" w:name="_Toc138852520"/>
      <w:r w:rsidRPr="00843F05">
        <w:lastRenderedPageBreak/>
        <w:t>RATES</w:t>
      </w:r>
      <w:bookmarkEnd w:id="10"/>
      <w:bookmarkEnd w:id="11"/>
    </w:p>
    <w:p w14:paraId="763E72AA" w14:textId="77777777" w:rsidR="0032556D" w:rsidRPr="00843F05" w:rsidRDefault="0032556D" w:rsidP="001A4959">
      <w:pPr>
        <w:pStyle w:val="Heading3"/>
      </w:pPr>
      <w:bookmarkStart w:id="12" w:name="_Toc30012881"/>
      <w:bookmarkStart w:id="13" w:name="_Toc138852521"/>
      <w:r w:rsidRPr="00843F05">
        <w:t>Original Policy Rate</w:t>
      </w:r>
      <w:bookmarkEnd w:id="12"/>
      <w:bookmarkEnd w:id="13"/>
    </w:p>
    <w:p w14:paraId="54C1D353" w14:textId="77777777" w:rsidR="00634AB6" w:rsidRDefault="0032556D" w:rsidP="001A4959">
      <w:pPr>
        <w:pStyle w:val="Heading4"/>
        <w:numPr>
          <w:ilvl w:val="0"/>
          <w:numId w:val="0"/>
        </w:numPr>
        <w:ind w:left="1440"/>
      </w:pPr>
      <w:r>
        <w:t xml:space="preserve">The Original Policy Rate shall apply to the </w:t>
      </w:r>
      <w:r w:rsidR="00202638">
        <w:t>Owner’s Policy</w:t>
      </w:r>
      <w:r>
        <w:t xml:space="preserve">, </w:t>
      </w:r>
      <w:r w:rsidR="00634AB6">
        <w:t>Leasehold Owner’s Policy, Residential and Non-Residential Loan Policy, and Leasehold Loan Policy. The Original Policy Rate does not apply to:</w:t>
      </w:r>
    </w:p>
    <w:p w14:paraId="2AD502D3" w14:textId="77777777" w:rsidR="00634AB6" w:rsidRDefault="00634AB6" w:rsidP="001A4959">
      <w:pPr>
        <w:pStyle w:val="Heading4"/>
        <w:numPr>
          <w:ilvl w:val="0"/>
          <w:numId w:val="2"/>
        </w:numPr>
      </w:pPr>
      <w:r>
        <w:t>Residential Refinance Loan Policy (Section II, paragraph C)</w:t>
      </w:r>
    </w:p>
    <w:p w14:paraId="48DA332A" w14:textId="77777777" w:rsidR="00C15E7F" w:rsidRDefault="00C15E7F" w:rsidP="001A4959">
      <w:pPr>
        <w:pStyle w:val="Heading4"/>
        <w:numPr>
          <w:ilvl w:val="0"/>
          <w:numId w:val="2"/>
        </w:numPr>
      </w:pPr>
      <w:r>
        <w:t>Residential Construction Loan Policy Rate (Section II, paragraph D)</w:t>
      </w:r>
    </w:p>
    <w:p w14:paraId="75E9BC47" w14:textId="77777777" w:rsidR="00C15E7F" w:rsidRDefault="00C15E7F" w:rsidP="001A4959">
      <w:pPr>
        <w:pStyle w:val="Heading4"/>
        <w:numPr>
          <w:ilvl w:val="0"/>
          <w:numId w:val="2"/>
        </w:numPr>
      </w:pPr>
      <w:r>
        <w:t>Residential New Construction Refinance Rate (Section II, paragraph E)</w:t>
      </w:r>
    </w:p>
    <w:p w14:paraId="769E5E55" w14:textId="33284CE6" w:rsidR="005E7D46" w:rsidRDefault="005E7D46" w:rsidP="005E7D46">
      <w:pPr>
        <w:pStyle w:val="Heading4"/>
        <w:numPr>
          <w:ilvl w:val="0"/>
          <w:numId w:val="2"/>
        </w:numPr>
      </w:pPr>
      <w:r>
        <w:t>Residential Simplified Refinance Rate (Section II, paragraph F)</w:t>
      </w:r>
    </w:p>
    <w:p w14:paraId="22E8F0D2" w14:textId="7D6546AB" w:rsidR="00C15E7F" w:rsidRDefault="00C15E7F" w:rsidP="001A4959">
      <w:pPr>
        <w:pStyle w:val="Heading4"/>
        <w:numPr>
          <w:ilvl w:val="0"/>
          <w:numId w:val="2"/>
        </w:numPr>
      </w:pPr>
      <w:r>
        <w:t xml:space="preserve">Residential </w:t>
      </w:r>
      <w:r w:rsidR="0021305C">
        <w:t xml:space="preserve">Bifurcated </w:t>
      </w:r>
      <w:r>
        <w:t xml:space="preserve">Loan Policy Rate (Section II, paragraph </w:t>
      </w:r>
      <w:r w:rsidR="005E7D46">
        <w:t>H</w:t>
      </w:r>
      <w:r>
        <w:t>)</w:t>
      </w:r>
    </w:p>
    <w:p w14:paraId="5D6B7A09" w14:textId="31550CAD" w:rsidR="00C15E7F" w:rsidRPr="00C15E7F" w:rsidRDefault="00C15E7F" w:rsidP="001A4959">
      <w:pPr>
        <w:pStyle w:val="Heading4"/>
        <w:numPr>
          <w:ilvl w:val="0"/>
          <w:numId w:val="2"/>
        </w:numPr>
      </w:pPr>
      <w:r>
        <w:t>AL</w:t>
      </w:r>
      <w:r w:rsidR="005E7D46">
        <w:t>T</w:t>
      </w:r>
      <w:r>
        <w:t>A Residential Limited Coverage Junior Loan Policy (Section II, paragraph I)</w:t>
      </w:r>
    </w:p>
    <w:p w14:paraId="7F358BA0" w14:textId="1B05430A" w:rsidR="0032556D" w:rsidRDefault="0021305C" w:rsidP="001A4959">
      <w:pPr>
        <w:pStyle w:val="Heading4"/>
        <w:numPr>
          <w:ilvl w:val="0"/>
          <w:numId w:val="0"/>
        </w:numPr>
        <w:ind w:left="1440"/>
      </w:pPr>
      <w:r>
        <w:t xml:space="preserve">All </w:t>
      </w:r>
      <w:r w:rsidR="0020234C">
        <w:t>Original Policy Rate</w:t>
      </w:r>
      <w:r>
        <w:t>s include an easement and restriction search. The Reissue credit is not available for the base rate of $</w:t>
      </w:r>
      <w:r w:rsidR="00E00594">
        <w:t>525</w:t>
      </w:r>
      <w:r>
        <w:t>.</w:t>
      </w:r>
    </w:p>
    <w:p w14:paraId="443A6998" w14:textId="77777777" w:rsidR="0021305C" w:rsidRPr="0021305C" w:rsidRDefault="0021305C" w:rsidP="001A4959">
      <w:pPr>
        <w:pStyle w:val="Heading4"/>
        <w:numPr>
          <w:ilvl w:val="0"/>
          <w:numId w:val="0"/>
        </w:numPr>
        <w:ind w:left="1440"/>
      </w:pPr>
      <w:r>
        <w:t>The minimum and maximum rates that may be charged are as follows:</w:t>
      </w:r>
    </w:p>
    <w:tbl>
      <w:tblPr>
        <w:tblW w:w="8535" w:type="dxa"/>
        <w:tblInd w:w="1440" w:type="dxa"/>
        <w:tblLayout w:type="fixed"/>
        <w:tblCellMar>
          <w:left w:w="30" w:type="dxa"/>
          <w:right w:w="30" w:type="dxa"/>
        </w:tblCellMar>
        <w:tblLook w:val="0000" w:firstRow="0" w:lastRow="0" w:firstColumn="0" w:lastColumn="0" w:noHBand="0" w:noVBand="0"/>
      </w:tblPr>
      <w:tblGrid>
        <w:gridCol w:w="570"/>
        <w:gridCol w:w="1079"/>
        <w:gridCol w:w="630"/>
        <w:gridCol w:w="1117"/>
        <w:gridCol w:w="135"/>
        <w:gridCol w:w="459"/>
        <w:gridCol w:w="718"/>
        <w:gridCol w:w="1163"/>
        <w:gridCol w:w="738"/>
        <w:gridCol w:w="712"/>
        <w:gridCol w:w="1214"/>
      </w:tblGrid>
      <w:tr w:rsidR="00D241C8" w:rsidRPr="00625200" w14:paraId="2221C3EC" w14:textId="77777777" w:rsidTr="00D241C8">
        <w:trPr>
          <w:cantSplit/>
        </w:trPr>
        <w:tc>
          <w:tcPr>
            <w:tcW w:w="571" w:type="dxa"/>
          </w:tcPr>
          <w:p w14:paraId="658D6325" w14:textId="42643426" w:rsidR="00D241C8" w:rsidRPr="00625200" w:rsidRDefault="00D241C8" w:rsidP="00D3700F">
            <w:pPr>
              <w:spacing w:after="40"/>
              <w:jc w:val="center"/>
              <w:rPr>
                <w:rFonts w:ascii="Arial" w:hAnsi="Arial" w:cs="Arial"/>
                <w:kern w:val="2"/>
                <w:sz w:val="18"/>
                <w:szCs w:val="18"/>
              </w:rPr>
            </w:pPr>
          </w:p>
        </w:tc>
        <w:tc>
          <w:tcPr>
            <w:tcW w:w="2960" w:type="dxa"/>
            <w:gridSpan w:val="4"/>
          </w:tcPr>
          <w:p w14:paraId="0FF1B86D" w14:textId="6DCB3C07" w:rsidR="00D241C8" w:rsidRPr="00625200" w:rsidRDefault="00D241C8" w:rsidP="00D3700F">
            <w:pPr>
              <w:spacing w:after="40"/>
              <w:jc w:val="center"/>
              <w:rPr>
                <w:rFonts w:ascii="Arial" w:hAnsi="Arial" w:cs="Arial"/>
                <w:kern w:val="2"/>
                <w:sz w:val="18"/>
                <w:szCs w:val="18"/>
              </w:rPr>
            </w:pPr>
            <w:r w:rsidRPr="00625200">
              <w:rPr>
                <w:rFonts w:ascii="Arial" w:hAnsi="Arial" w:cs="Arial"/>
                <w:b/>
                <w:kern w:val="2"/>
                <w:sz w:val="18"/>
                <w:szCs w:val="18"/>
              </w:rPr>
              <w:t>Amount of Insurance</w:t>
            </w:r>
          </w:p>
        </w:tc>
        <w:tc>
          <w:tcPr>
            <w:tcW w:w="459" w:type="dxa"/>
          </w:tcPr>
          <w:p w14:paraId="473CD6A9" w14:textId="77777777" w:rsidR="00D241C8" w:rsidRPr="00625200" w:rsidRDefault="00D241C8" w:rsidP="00D3700F">
            <w:pPr>
              <w:spacing w:after="40"/>
              <w:jc w:val="center"/>
              <w:rPr>
                <w:rFonts w:ascii="Arial" w:hAnsi="Arial" w:cs="Arial"/>
                <w:b/>
                <w:kern w:val="2"/>
                <w:sz w:val="18"/>
                <w:szCs w:val="18"/>
              </w:rPr>
            </w:pPr>
          </w:p>
        </w:tc>
        <w:tc>
          <w:tcPr>
            <w:tcW w:w="1881" w:type="dxa"/>
            <w:gridSpan w:val="2"/>
          </w:tcPr>
          <w:p w14:paraId="0403D98E" w14:textId="77777777" w:rsidR="00D241C8" w:rsidRPr="00625200" w:rsidRDefault="00D241C8" w:rsidP="00D3700F">
            <w:pPr>
              <w:spacing w:after="40"/>
              <w:jc w:val="center"/>
              <w:rPr>
                <w:rFonts w:ascii="Arial" w:hAnsi="Arial" w:cs="Arial"/>
                <w:b/>
                <w:kern w:val="2"/>
                <w:sz w:val="18"/>
                <w:szCs w:val="18"/>
              </w:rPr>
            </w:pPr>
            <w:r w:rsidRPr="00625200">
              <w:rPr>
                <w:rFonts w:ascii="Arial" w:hAnsi="Arial" w:cs="Arial"/>
                <w:b/>
                <w:kern w:val="2"/>
                <w:sz w:val="18"/>
                <w:szCs w:val="18"/>
              </w:rPr>
              <w:t>Minimum Rate</w:t>
            </w:r>
          </w:p>
        </w:tc>
        <w:tc>
          <w:tcPr>
            <w:tcW w:w="738" w:type="dxa"/>
          </w:tcPr>
          <w:p w14:paraId="22BDCCFE" w14:textId="77777777" w:rsidR="00D241C8" w:rsidRPr="00625200" w:rsidRDefault="00D241C8" w:rsidP="00D3700F">
            <w:pPr>
              <w:spacing w:after="40"/>
              <w:jc w:val="center"/>
              <w:rPr>
                <w:rFonts w:ascii="Arial" w:hAnsi="Arial" w:cs="Arial"/>
                <w:b/>
                <w:kern w:val="2"/>
                <w:sz w:val="18"/>
                <w:szCs w:val="18"/>
              </w:rPr>
            </w:pPr>
          </w:p>
        </w:tc>
        <w:tc>
          <w:tcPr>
            <w:tcW w:w="1926" w:type="dxa"/>
            <w:gridSpan w:val="2"/>
          </w:tcPr>
          <w:p w14:paraId="666DECC9" w14:textId="77777777" w:rsidR="00D241C8" w:rsidRPr="00625200" w:rsidRDefault="00D241C8" w:rsidP="00D3700F">
            <w:pPr>
              <w:spacing w:after="40"/>
              <w:jc w:val="center"/>
              <w:rPr>
                <w:rFonts w:ascii="Arial" w:hAnsi="Arial" w:cs="Arial"/>
                <w:b/>
                <w:kern w:val="2"/>
                <w:sz w:val="18"/>
                <w:szCs w:val="18"/>
              </w:rPr>
            </w:pPr>
            <w:r w:rsidRPr="00625200">
              <w:rPr>
                <w:rFonts w:ascii="Arial" w:hAnsi="Arial" w:cs="Arial"/>
                <w:b/>
                <w:kern w:val="2"/>
                <w:sz w:val="18"/>
                <w:szCs w:val="18"/>
              </w:rPr>
              <w:t>Maximum Rate</w:t>
            </w:r>
          </w:p>
        </w:tc>
      </w:tr>
      <w:tr w:rsidR="00D241C8" w:rsidRPr="00625200" w14:paraId="6D4A1FDB" w14:textId="77777777" w:rsidTr="00D241C8">
        <w:tc>
          <w:tcPr>
            <w:tcW w:w="571" w:type="dxa"/>
          </w:tcPr>
          <w:p w14:paraId="0465F39A" w14:textId="35068824" w:rsidR="00D241C8" w:rsidRPr="00625200" w:rsidRDefault="00D241C8" w:rsidP="00D3700F">
            <w:pPr>
              <w:spacing w:after="40"/>
              <w:jc w:val="left"/>
              <w:rPr>
                <w:rFonts w:ascii="Arial" w:hAnsi="Arial" w:cs="Arial"/>
                <w:kern w:val="2"/>
                <w:sz w:val="18"/>
                <w:szCs w:val="18"/>
              </w:rPr>
            </w:pPr>
          </w:p>
        </w:tc>
        <w:tc>
          <w:tcPr>
            <w:tcW w:w="1079" w:type="dxa"/>
          </w:tcPr>
          <w:p w14:paraId="563F1DA1" w14:textId="2CF4F8A3" w:rsidR="00D241C8" w:rsidRPr="00625200" w:rsidRDefault="00D241C8" w:rsidP="00D3700F">
            <w:pPr>
              <w:spacing w:after="40"/>
              <w:jc w:val="right"/>
              <w:rPr>
                <w:rFonts w:ascii="Arial" w:hAnsi="Arial" w:cs="Arial"/>
                <w:kern w:val="2"/>
                <w:sz w:val="18"/>
                <w:szCs w:val="18"/>
              </w:rPr>
            </w:pPr>
            <w:r w:rsidRPr="6C372643">
              <w:rPr>
                <w:rFonts w:ascii="Arial" w:hAnsi="Arial" w:cs="Arial"/>
                <w:sz w:val="18"/>
                <w:szCs w:val="18"/>
              </w:rPr>
              <w:t>$1.00</w:t>
            </w:r>
          </w:p>
        </w:tc>
        <w:tc>
          <w:tcPr>
            <w:tcW w:w="630" w:type="dxa"/>
          </w:tcPr>
          <w:p w14:paraId="4E609CA7" w14:textId="29AA4BA7" w:rsidR="00D241C8" w:rsidRPr="00625200" w:rsidRDefault="00D241C8" w:rsidP="00D241C8">
            <w:pPr>
              <w:spacing w:after="40" w:line="259" w:lineRule="auto"/>
              <w:jc w:val="center"/>
              <w:rPr>
                <w:rFonts w:ascii="Arial" w:hAnsi="Arial" w:cs="Arial"/>
                <w:sz w:val="18"/>
                <w:szCs w:val="18"/>
              </w:rPr>
            </w:pPr>
            <w:r w:rsidRPr="6C372643">
              <w:rPr>
                <w:rFonts w:ascii="Arial" w:hAnsi="Arial" w:cs="Arial"/>
                <w:sz w:val="18"/>
                <w:szCs w:val="18"/>
              </w:rPr>
              <w:t>to</w:t>
            </w:r>
          </w:p>
        </w:tc>
        <w:tc>
          <w:tcPr>
            <w:tcW w:w="1117" w:type="dxa"/>
          </w:tcPr>
          <w:p w14:paraId="4AB4C7AE" w14:textId="77777777" w:rsidR="00D241C8" w:rsidRPr="00625200" w:rsidRDefault="00D241C8" w:rsidP="00D241C8">
            <w:pPr>
              <w:spacing w:after="40"/>
              <w:jc w:val="right"/>
              <w:rPr>
                <w:rFonts w:ascii="Arial" w:hAnsi="Arial" w:cs="Arial"/>
                <w:kern w:val="2"/>
                <w:sz w:val="18"/>
                <w:szCs w:val="18"/>
              </w:rPr>
            </w:pPr>
            <w:r w:rsidRPr="6C372643">
              <w:rPr>
                <w:rFonts w:ascii="Arial" w:hAnsi="Arial" w:cs="Arial"/>
                <w:sz w:val="18"/>
                <w:szCs w:val="18"/>
              </w:rPr>
              <w:t>$15,000</w:t>
            </w:r>
          </w:p>
        </w:tc>
        <w:tc>
          <w:tcPr>
            <w:tcW w:w="134" w:type="dxa"/>
          </w:tcPr>
          <w:p w14:paraId="6B669379" w14:textId="43450A9B" w:rsidR="00D241C8" w:rsidRPr="00625200" w:rsidRDefault="00D241C8" w:rsidP="00D3700F">
            <w:pPr>
              <w:spacing w:after="40"/>
              <w:jc w:val="left"/>
              <w:rPr>
                <w:rFonts w:ascii="Arial" w:hAnsi="Arial" w:cs="Arial"/>
                <w:kern w:val="2"/>
                <w:sz w:val="18"/>
                <w:szCs w:val="18"/>
              </w:rPr>
            </w:pPr>
          </w:p>
        </w:tc>
        <w:tc>
          <w:tcPr>
            <w:tcW w:w="1177" w:type="dxa"/>
            <w:gridSpan w:val="2"/>
          </w:tcPr>
          <w:p w14:paraId="59347CDF" w14:textId="63216E2F" w:rsidR="00D241C8" w:rsidRPr="00625200" w:rsidRDefault="00D241C8" w:rsidP="00D3700F">
            <w:pPr>
              <w:spacing w:after="40"/>
              <w:jc w:val="right"/>
              <w:rPr>
                <w:rFonts w:ascii="Arial" w:hAnsi="Arial" w:cs="Arial"/>
                <w:kern w:val="2"/>
                <w:sz w:val="18"/>
                <w:szCs w:val="18"/>
              </w:rPr>
            </w:pPr>
            <w:r w:rsidRPr="00625200">
              <w:rPr>
                <w:rFonts w:ascii="Arial" w:hAnsi="Arial" w:cs="Arial"/>
                <w:kern w:val="2"/>
                <w:sz w:val="18"/>
                <w:szCs w:val="18"/>
              </w:rPr>
              <w:t>$</w:t>
            </w:r>
            <w:r>
              <w:rPr>
                <w:rFonts w:ascii="Arial" w:hAnsi="Arial" w:cs="Arial"/>
                <w:kern w:val="2"/>
                <w:sz w:val="18"/>
                <w:szCs w:val="18"/>
              </w:rPr>
              <w:t>525</w:t>
            </w:r>
            <w:r w:rsidRPr="00625200">
              <w:rPr>
                <w:rFonts w:ascii="Arial" w:hAnsi="Arial" w:cs="Arial"/>
                <w:kern w:val="2"/>
                <w:sz w:val="18"/>
                <w:szCs w:val="18"/>
              </w:rPr>
              <w:t>.00</w:t>
            </w:r>
          </w:p>
        </w:tc>
        <w:tc>
          <w:tcPr>
            <w:tcW w:w="1163" w:type="dxa"/>
          </w:tcPr>
          <w:p w14:paraId="4DA750DA" w14:textId="77777777" w:rsidR="00D241C8" w:rsidRPr="00625200" w:rsidRDefault="00D241C8" w:rsidP="00D3700F">
            <w:pPr>
              <w:spacing w:after="40"/>
              <w:jc w:val="left"/>
              <w:rPr>
                <w:rFonts w:ascii="Arial" w:hAnsi="Arial" w:cs="Arial"/>
                <w:kern w:val="2"/>
                <w:sz w:val="18"/>
                <w:szCs w:val="18"/>
              </w:rPr>
            </w:pPr>
          </w:p>
        </w:tc>
        <w:tc>
          <w:tcPr>
            <w:tcW w:w="1450" w:type="dxa"/>
            <w:gridSpan w:val="2"/>
          </w:tcPr>
          <w:p w14:paraId="26D58CDE" w14:textId="494B4B7A" w:rsidR="00D241C8" w:rsidRPr="00625200" w:rsidRDefault="00D241C8" w:rsidP="00D3700F">
            <w:pPr>
              <w:spacing w:after="40"/>
              <w:jc w:val="right"/>
              <w:rPr>
                <w:rFonts w:ascii="Arial" w:hAnsi="Arial" w:cs="Arial"/>
                <w:kern w:val="2"/>
                <w:sz w:val="18"/>
                <w:szCs w:val="18"/>
              </w:rPr>
            </w:pPr>
            <w:r w:rsidRPr="00625200">
              <w:rPr>
                <w:rFonts w:ascii="Arial" w:hAnsi="Arial" w:cs="Arial"/>
                <w:kern w:val="2"/>
                <w:sz w:val="18"/>
                <w:szCs w:val="18"/>
              </w:rPr>
              <w:t>$</w:t>
            </w:r>
            <w:r>
              <w:rPr>
                <w:rFonts w:ascii="Arial" w:hAnsi="Arial" w:cs="Arial"/>
                <w:kern w:val="2"/>
                <w:sz w:val="18"/>
                <w:szCs w:val="18"/>
              </w:rPr>
              <w:t>525</w:t>
            </w:r>
            <w:r w:rsidRPr="00625200">
              <w:rPr>
                <w:rFonts w:ascii="Arial" w:hAnsi="Arial" w:cs="Arial"/>
                <w:kern w:val="2"/>
                <w:sz w:val="18"/>
                <w:szCs w:val="18"/>
              </w:rPr>
              <w:t>.00</w:t>
            </w:r>
          </w:p>
        </w:tc>
        <w:tc>
          <w:tcPr>
            <w:tcW w:w="1214" w:type="dxa"/>
          </w:tcPr>
          <w:p w14:paraId="6989FA09" w14:textId="77777777" w:rsidR="00D241C8" w:rsidRPr="00625200" w:rsidRDefault="00D241C8" w:rsidP="00D3700F">
            <w:pPr>
              <w:spacing w:after="40"/>
              <w:jc w:val="left"/>
              <w:rPr>
                <w:rFonts w:ascii="Arial" w:hAnsi="Arial" w:cs="Arial"/>
                <w:kern w:val="2"/>
                <w:sz w:val="18"/>
                <w:szCs w:val="18"/>
              </w:rPr>
            </w:pPr>
          </w:p>
        </w:tc>
      </w:tr>
      <w:tr w:rsidR="0098305A" w:rsidRPr="00625200" w14:paraId="75DFC9D2" w14:textId="77777777" w:rsidTr="00D241C8">
        <w:tc>
          <w:tcPr>
            <w:tcW w:w="571" w:type="dxa"/>
          </w:tcPr>
          <w:p w14:paraId="4FB506AC" w14:textId="5B47730E" w:rsidR="0098305A" w:rsidRPr="00625200" w:rsidRDefault="0098305A" w:rsidP="00D3700F">
            <w:pPr>
              <w:spacing w:after="40"/>
              <w:jc w:val="left"/>
              <w:rPr>
                <w:rFonts w:ascii="Arial" w:hAnsi="Arial" w:cs="Arial"/>
                <w:kern w:val="2"/>
                <w:sz w:val="18"/>
                <w:szCs w:val="18"/>
              </w:rPr>
            </w:pPr>
          </w:p>
        </w:tc>
        <w:tc>
          <w:tcPr>
            <w:tcW w:w="1079" w:type="dxa"/>
          </w:tcPr>
          <w:p w14:paraId="6ECDE6E6" w14:textId="57A3B901" w:rsidR="0098305A" w:rsidRPr="00625200" w:rsidRDefault="0098305A" w:rsidP="00D3700F">
            <w:pPr>
              <w:spacing w:after="40"/>
              <w:jc w:val="right"/>
              <w:rPr>
                <w:rFonts w:ascii="Arial" w:hAnsi="Arial" w:cs="Arial"/>
                <w:kern w:val="2"/>
                <w:sz w:val="18"/>
                <w:szCs w:val="18"/>
              </w:rPr>
            </w:pPr>
            <w:r w:rsidRPr="00625200">
              <w:rPr>
                <w:rFonts w:ascii="Arial" w:hAnsi="Arial" w:cs="Arial"/>
                <w:kern w:val="2"/>
                <w:sz w:val="18"/>
                <w:szCs w:val="18"/>
              </w:rPr>
              <w:t>$</w:t>
            </w:r>
            <w:r w:rsidR="52CF4FF6" w:rsidRPr="00625200">
              <w:rPr>
                <w:rFonts w:ascii="Arial" w:hAnsi="Arial" w:cs="Arial"/>
                <w:kern w:val="2"/>
                <w:sz w:val="18"/>
                <w:szCs w:val="18"/>
              </w:rPr>
              <w:t>15,001</w:t>
            </w:r>
            <w:r w:rsidR="75CC0F99" w:rsidRPr="00625200">
              <w:rPr>
                <w:rFonts w:ascii="Arial" w:hAnsi="Arial" w:cs="Arial"/>
                <w:kern w:val="2"/>
                <w:sz w:val="18"/>
                <w:szCs w:val="18"/>
              </w:rPr>
              <w:t xml:space="preserve"> </w:t>
            </w:r>
          </w:p>
        </w:tc>
        <w:tc>
          <w:tcPr>
            <w:tcW w:w="630" w:type="dxa"/>
          </w:tcPr>
          <w:p w14:paraId="6C1FED67" w14:textId="55D3B845" w:rsidR="0098305A" w:rsidRPr="00625200" w:rsidRDefault="67B0E47B" w:rsidP="00D3700F">
            <w:pPr>
              <w:spacing w:after="40"/>
              <w:jc w:val="center"/>
              <w:rPr>
                <w:rFonts w:ascii="Arial" w:hAnsi="Arial" w:cs="Arial"/>
                <w:kern w:val="2"/>
                <w:sz w:val="18"/>
                <w:szCs w:val="18"/>
              </w:rPr>
            </w:pPr>
            <w:r w:rsidRPr="5C4D234D">
              <w:rPr>
                <w:rFonts w:ascii="Arial" w:hAnsi="Arial" w:cs="Arial"/>
                <w:sz w:val="18"/>
                <w:szCs w:val="18"/>
              </w:rPr>
              <w:t>to</w:t>
            </w:r>
          </w:p>
        </w:tc>
        <w:tc>
          <w:tcPr>
            <w:tcW w:w="1116" w:type="dxa"/>
          </w:tcPr>
          <w:p w14:paraId="1FE37F55" w14:textId="35AC3A8F" w:rsidR="0098305A" w:rsidRPr="00625200" w:rsidRDefault="67B0E47B" w:rsidP="00D3700F">
            <w:pPr>
              <w:spacing w:after="40"/>
              <w:jc w:val="right"/>
              <w:rPr>
                <w:rFonts w:ascii="Arial" w:hAnsi="Arial" w:cs="Arial"/>
                <w:kern w:val="2"/>
                <w:sz w:val="18"/>
                <w:szCs w:val="18"/>
              </w:rPr>
            </w:pPr>
            <w:r w:rsidRPr="5C4D234D">
              <w:rPr>
                <w:rFonts w:ascii="Arial" w:hAnsi="Arial" w:cs="Arial"/>
                <w:sz w:val="18"/>
                <w:szCs w:val="18"/>
              </w:rPr>
              <w:t>$250,000</w:t>
            </w:r>
          </w:p>
        </w:tc>
        <w:tc>
          <w:tcPr>
            <w:tcW w:w="135" w:type="dxa"/>
          </w:tcPr>
          <w:p w14:paraId="75989D8B" w14:textId="77777777" w:rsidR="0098305A" w:rsidRPr="00625200" w:rsidRDefault="0098305A" w:rsidP="00D3700F">
            <w:pPr>
              <w:spacing w:after="40"/>
              <w:jc w:val="left"/>
              <w:rPr>
                <w:rFonts w:ascii="Arial" w:hAnsi="Arial" w:cs="Arial"/>
                <w:kern w:val="2"/>
                <w:sz w:val="18"/>
                <w:szCs w:val="18"/>
              </w:rPr>
            </w:pPr>
          </w:p>
        </w:tc>
        <w:tc>
          <w:tcPr>
            <w:tcW w:w="1177" w:type="dxa"/>
            <w:gridSpan w:val="2"/>
          </w:tcPr>
          <w:p w14:paraId="7AE0CA24" w14:textId="57A9130C" w:rsidR="0098305A" w:rsidRPr="00625200" w:rsidRDefault="0098305A" w:rsidP="00D3700F">
            <w:pPr>
              <w:spacing w:after="40"/>
              <w:jc w:val="right"/>
              <w:rPr>
                <w:rFonts w:ascii="Arial" w:hAnsi="Arial" w:cs="Arial"/>
                <w:kern w:val="2"/>
                <w:sz w:val="18"/>
                <w:szCs w:val="18"/>
              </w:rPr>
            </w:pPr>
            <w:r w:rsidRPr="00625200">
              <w:rPr>
                <w:rFonts w:ascii="Arial" w:hAnsi="Arial" w:cs="Arial"/>
                <w:kern w:val="2"/>
                <w:sz w:val="18"/>
                <w:szCs w:val="18"/>
              </w:rPr>
              <w:t>$</w:t>
            </w:r>
            <w:r w:rsidR="0B8AA088" w:rsidRPr="00625200">
              <w:rPr>
                <w:rFonts w:ascii="Arial" w:hAnsi="Arial" w:cs="Arial"/>
                <w:kern w:val="2"/>
                <w:sz w:val="18"/>
                <w:szCs w:val="18"/>
              </w:rPr>
              <w:t>3.00</w:t>
            </w:r>
            <w:r w:rsidRPr="00625200">
              <w:rPr>
                <w:rFonts w:ascii="Arial" w:hAnsi="Arial" w:cs="Arial"/>
                <w:kern w:val="2"/>
                <w:sz w:val="18"/>
                <w:szCs w:val="18"/>
              </w:rPr>
              <w:t xml:space="preserve"> </w:t>
            </w:r>
          </w:p>
        </w:tc>
        <w:tc>
          <w:tcPr>
            <w:tcW w:w="1163" w:type="dxa"/>
          </w:tcPr>
          <w:p w14:paraId="1CB7AF9B" w14:textId="77777777" w:rsidR="0098305A" w:rsidRPr="00625200" w:rsidRDefault="0098305A" w:rsidP="00D3700F">
            <w:pPr>
              <w:spacing w:after="40"/>
              <w:jc w:val="left"/>
              <w:rPr>
                <w:rFonts w:ascii="Arial" w:hAnsi="Arial" w:cs="Arial"/>
                <w:kern w:val="2"/>
                <w:sz w:val="18"/>
                <w:szCs w:val="18"/>
              </w:rPr>
            </w:pPr>
            <w:r w:rsidRPr="00625200">
              <w:rPr>
                <w:rFonts w:ascii="Arial" w:hAnsi="Arial" w:cs="Arial"/>
                <w:kern w:val="2"/>
                <w:sz w:val="18"/>
                <w:szCs w:val="18"/>
              </w:rPr>
              <w:t xml:space="preserve"> per thousand</w:t>
            </w:r>
          </w:p>
        </w:tc>
        <w:tc>
          <w:tcPr>
            <w:tcW w:w="1450" w:type="dxa"/>
            <w:gridSpan w:val="2"/>
          </w:tcPr>
          <w:p w14:paraId="4DD88FC5" w14:textId="0DB2EAC7" w:rsidR="0098305A" w:rsidRPr="00625200" w:rsidRDefault="0098305A" w:rsidP="00D3700F">
            <w:pPr>
              <w:spacing w:after="40"/>
              <w:jc w:val="right"/>
              <w:rPr>
                <w:rFonts w:ascii="Arial" w:hAnsi="Arial" w:cs="Arial"/>
                <w:kern w:val="2"/>
                <w:sz w:val="18"/>
                <w:szCs w:val="18"/>
              </w:rPr>
            </w:pPr>
            <w:r w:rsidRPr="00625200">
              <w:rPr>
                <w:rFonts w:ascii="Arial" w:hAnsi="Arial" w:cs="Arial"/>
                <w:kern w:val="2"/>
                <w:sz w:val="18"/>
                <w:szCs w:val="18"/>
              </w:rPr>
              <w:t>$</w:t>
            </w:r>
            <w:r w:rsidR="56DE77A8" w:rsidRPr="00625200">
              <w:rPr>
                <w:rFonts w:ascii="Arial" w:hAnsi="Arial" w:cs="Arial"/>
                <w:kern w:val="2"/>
                <w:sz w:val="18"/>
                <w:szCs w:val="18"/>
              </w:rPr>
              <w:t>3.50</w:t>
            </w:r>
            <w:r w:rsidRPr="00625200">
              <w:rPr>
                <w:rFonts w:ascii="Arial" w:hAnsi="Arial" w:cs="Arial"/>
                <w:kern w:val="2"/>
                <w:sz w:val="18"/>
                <w:szCs w:val="18"/>
              </w:rPr>
              <w:t xml:space="preserve"> </w:t>
            </w:r>
          </w:p>
        </w:tc>
        <w:tc>
          <w:tcPr>
            <w:tcW w:w="1214" w:type="dxa"/>
          </w:tcPr>
          <w:p w14:paraId="081056D4" w14:textId="77777777" w:rsidR="0098305A" w:rsidRPr="00625200" w:rsidRDefault="0098305A" w:rsidP="00D3700F">
            <w:pPr>
              <w:spacing w:after="40"/>
              <w:jc w:val="left"/>
              <w:rPr>
                <w:rFonts w:ascii="Arial" w:hAnsi="Arial" w:cs="Arial"/>
                <w:kern w:val="2"/>
                <w:sz w:val="18"/>
                <w:szCs w:val="18"/>
              </w:rPr>
            </w:pPr>
            <w:r w:rsidRPr="00625200">
              <w:rPr>
                <w:rFonts w:ascii="Arial" w:hAnsi="Arial" w:cs="Arial"/>
                <w:kern w:val="2"/>
                <w:sz w:val="18"/>
                <w:szCs w:val="18"/>
              </w:rPr>
              <w:t xml:space="preserve"> per thousand</w:t>
            </w:r>
          </w:p>
        </w:tc>
      </w:tr>
      <w:tr w:rsidR="0098305A" w:rsidRPr="00625200" w14:paraId="7E2E7219" w14:textId="77777777" w:rsidTr="00D241C8">
        <w:tc>
          <w:tcPr>
            <w:tcW w:w="571" w:type="dxa"/>
          </w:tcPr>
          <w:p w14:paraId="254E7015" w14:textId="0325EA79" w:rsidR="0098305A" w:rsidRPr="00625200" w:rsidRDefault="0098305A" w:rsidP="00D3700F">
            <w:pPr>
              <w:spacing w:after="40"/>
              <w:jc w:val="left"/>
              <w:rPr>
                <w:rFonts w:ascii="Arial" w:hAnsi="Arial" w:cs="Arial"/>
                <w:kern w:val="2"/>
                <w:sz w:val="18"/>
                <w:szCs w:val="18"/>
              </w:rPr>
            </w:pPr>
          </w:p>
        </w:tc>
        <w:tc>
          <w:tcPr>
            <w:tcW w:w="1079" w:type="dxa"/>
          </w:tcPr>
          <w:p w14:paraId="4D2E9398" w14:textId="0C3297D6" w:rsidR="0098305A" w:rsidRPr="00625200" w:rsidRDefault="0098305A" w:rsidP="00D3700F">
            <w:pPr>
              <w:spacing w:after="40"/>
              <w:jc w:val="right"/>
              <w:rPr>
                <w:rFonts w:ascii="Arial" w:hAnsi="Arial" w:cs="Arial"/>
                <w:kern w:val="2"/>
                <w:sz w:val="18"/>
                <w:szCs w:val="18"/>
              </w:rPr>
            </w:pPr>
            <w:r w:rsidRPr="00625200">
              <w:rPr>
                <w:rFonts w:ascii="Arial" w:hAnsi="Arial" w:cs="Arial"/>
                <w:kern w:val="2"/>
                <w:sz w:val="18"/>
                <w:szCs w:val="18"/>
              </w:rPr>
              <w:t>$</w:t>
            </w:r>
            <w:r w:rsidR="49B98CB1" w:rsidRPr="00625200">
              <w:rPr>
                <w:rFonts w:ascii="Arial" w:hAnsi="Arial" w:cs="Arial"/>
                <w:kern w:val="2"/>
                <w:sz w:val="18"/>
                <w:szCs w:val="18"/>
              </w:rPr>
              <w:t>250,001</w:t>
            </w:r>
          </w:p>
        </w:tc>
        <w:tc>
          <w:tcPr>
            <w:tcW w:w="630" w:type="dxa"/>
          </w:tcPr>
          <w:p w14:paraId="0EE11061" w14:textId="5666BF29" w:rsidR="0098305A" w:rsidRPr="00625200" w:rsidRDefault="1D337721" w:rsidP="5C4D234D">
            <w:pPr>
              <w:spacing w:after="40"/>
              <w:jc w:val="center"/>
              <w:rPr>
                <w:rFonts w:ascii="Arial" w:hAnsi="Arial" w:cs="Arial"/>
                <w:kern w:val="2"/>
                <w:sz w:val="18"/>
                <w:szCs w:val="18"/>
              </w:rPr>
            </w:pPr>
            <w:r w:rsidRPr="5C4D234D">
              <w:rPr>
                <w:rFonts w:ascii="Arial" w:hAnsi="Arial" w:cs="Arial"/>
                <w:sz w:val="18"/>
                <w:szCs w:val="18"/>
              </w:rPr>
              <w:t>to</w:t>
            </w:r>
          </w:p>
        </w:tc>
        <w:tc>
          <w:tcPr>
            <w:tcW w:w="1116" w:type="dxa"/>
          </w:tcPr>
          <w:p w14:paraId="6B3E0AC3" w14:textId="79B0E5BD" w:rsidR="0098305A" w:rsidRPr="00625200" w:rsidRDefault="1D337721" w:rsidP="00D3700F">
            <w:pPr>
              <w:spacing w:after="40"/>
              <w:jc w:val="right"/>
              <w:rPr>
                <w:rFonts w:ascii="Arial" w:hAnsi="Arial" w:cs="Arial"/>
                <w:kern w:val="2"/>
                <w:sz w:val="18"/>
                <w:szCs w:val="18"/>
              </w:rPr>
            </w:pPr>
            <w:r w:rsidRPr="00625200">
              <w:rPr>
                <w:rFonts w:ascii="Arial" w:hAnsi="Arial" w:cs="Arial"/>
                <w:kern w:val="2"/>
                <w:sz w:val="18"/>
                <w:szCs w:val="18"/>
              </w:rPr>
              <w:t>$500,000</w:t>
            </w:r>
          </w:p>
        </w:tc>
        <w:tc>
          <w:tcPr>
            <w:tcW w:w="135" w:type="dxa"/>
          </w:tcPr>
          <w:p w14:paraId="462FDD84" w14:textId="77777777" w:rsidR="0098305A" w:rsidRPr="00625200" w:rsidRDefault="0098305A" w:rsidP="00D3700F">
            <w:pPr>
              <w:spacing w:after="40"/>
              <w:jc w:val="left"/>
              <w:rPr>
                <w:rFonts w:ascii="Arial" w:hAnsi="Arial" w:cs="Arial"/>
                <w:kern w:val="2"/>
                <w:sz w:val="18"/>
                <w:szCs w:val="18"/>
              </w:rPr>
            </w:pPr>
          </w:p>
        </w:tc>
        <w:tc>
          <w:tcPr>
            <w:tcW w:w="1177" w:type="dxa"/>
            <w:gridSpan w:val="2"/>
          </w:tcPr>
          <w:p w14:paraId="3551E267" w14:textId="55326DED" w:rsidR="0098305A" w:rsidRPr="00625200" w:rsidRDefault="0098305A" w:rsidP="00D3700F">
            <w:pPr>
              <w:spacing w:after="40"/>
              <w:jc w:val="right"/>
              <w:rPr>
                <w:rFonts w:ascii="Arial" w:hAnsi="Arial" w:cs="Arial"/>
                <w:kern w:val="2"/>
                <w:sz w:val="18"/>
                <w:szCs w:val="18"/>
              </w:rPr>
            </w:pPr>
            <w:r w:rsidRPr="00625200">
              <w:rPr>
                <w:rFonts w:ascii="Arial" w:hAnsi="Arial" w:cs="Arial"/>
                <w:kern w:val="2"/>
                <w:sz w:val="18"/>
                <w:szCs w:val="18"/>
              </w:rPr>
              <w:t>$</w:t>
            </w:r>
            <w:r w:rsidR="248B5E7E" w:rsidRPr="00625200">
              <w:rPr>
                <w:rFonts w:ascii="Arial" w:hAnsi="Arial" w:cs="Arial"/>
                <w:kern w:val="2"/>
                <w:sz w:val="18"/>
                <w:szCs w:val="18"/>
              </w:rPr>
              <w:t>2.00</w:t>
            </w:r>
            <w:r w:rsidRPr="00625200">
              <w:rPr>
                <w:rFonts w:ascii="Arial" w:hAnsi="Arial" w:cs="Arial"/>
                <w:kern w:val="2"/>
                <w:sz w:val="18"/>
                <w:szCs w:val="18"/>
              </w:rPr>
              <w:t xml:space="preserve"> </w:t>
            </w:r>
          </w:p>
        </w:tc>
        <w:tc>
          <w:tcPr>
            <w:tcW w:w="1163" w:type="dxa"/>
          </w:tcPr>
          <w:p w14:paraId="21674DE8" w14:textId="77777777" w:rsidR="0098305A" w:rsidRPr="00625200" w:rsidRDefault="0098305A" w:rsidP="00D3700F">
            <w:pPr>
              <w:spacing w:after="40"/>
              <w:jc w:val="left"/>
              <w:rPr>
                <w:rFonts w:ascii="Arial" w:hAnsi="Arial" w:cs="Arial"/>
                <w:kern w:val="2"/>
                <w:sz w:val="18"/>
                <w:szCs w:val="18"/>
              </w:rPr>
            </w:pPr>
            <w:r w:rsidRPr="00625200">
              <w:rPr>
                <w:rFonts w:ascii="Arial" w:hAnsi="Arial" w:cs="Arial"/>
                <w:kern w:val="2"/>
                <w:sz w:val="18"/>
                <w:szCs w:val="18"/>
              </w:rPr>
              <w:t xml:space="preserve"> per thousand</w:t>
            </w:r>
          </w:p>
        </w:tc>
        <w:tc>
          <w:tcPr>
            <w:tcW w:w="1450" w:type="dxa"/>
            <w:gridSpan w:val="2"/>
          </w:tcPr>
          <w:p w14:paraId="13247182" w14:textId="4C65CA85" w:rsidR="0098305A" w:rsidRPr="00625200" w:rsidRDefault="0098305A" w:rsidP="00D3700F">
            <w:pPr>
              <w:spacing w:after="40"/>
              <w:jc w:val="right"/>
              <w:rPr>
                <w:rFonts w:ascii="Arial" w:hAnsi="Arial" w:cs="Arial"/>
                <w:kern w:val="2"/>
                <w:sz w:val="18"/>
                <w:szCs w:val="18"/>
              </w:rPr>
            </w:pPr>
            <w:r w:rsidRPr="00625200">
              <w:rPr>
                <w:rFonts w:ascii="Arial" w:hAnsi="Arial" w:cs="Arial"/>
                <w:kern w:val="2"/>
                <w:sz w:val="18"/>
                <w:szCs w:val="18"/>
              </w:rPr>
              <w:t>$</w:t>
            </w:r>
            <w:r w:rsidR="3DE68B13" w:rsidRPr="00625200">
              <w:rPr>
                <w:rFonts w:ascii="Arial" w:hAnsi="Arial" w:cs="Arial"/>
                <w:kern w:val="2"/>
                <w:sz w:val="18"/>
                <w:szCs w:val="18"/>
              </w:rPr>
              <w:t>2.50</w:t>
            </w:r>
          </w:p>
        </w:tc>
        <w:tc>
          <w:tcPr>
            <w:tcW w:w="1214" w:type="dxa"/>
          </w:tcPr>
          <w:p w14:paraId="782352DA" w14:textId="77777777" w:rsidR="0098305A" w:rsidRPr="00625200" w:rsidRDefault="0098305A" w:rsidP="00D3700F">
            <w:pPr>
              <w:spacing w:after="40"/>
              <w:jc w:val="left"/>
              <w:rPr>
                <w:rFonts w:ascii="Arial" w:hAnsi="Arial" w:cs="Arial"/>
                <w:kern w:val="2"/>
                <w:sz w:val="18"/>
                <w:szCs w:val="18"/>
              </w:rPr>
            </w:pPr>
            <w:r w:rsidRPr="00625200">
              <w:rPr>
                <w:rFonts w:ascii="Arial" w:hAnsi="Arial" w:cs="Arial"/>
                <w:kern w:val="2"/>
                <w:sz w:val="18"/>
                <w:szCs w:val="18"/>
              </w:rPr>
              <w:t xml:space="preserve"> per thousand</w:t>
            </w:r>
          </w:p>
        </w:tc>
      </w:tr>
      <w:tr w:rsidR="00716C29" w:rsidRPr="00625200" w14:paraId="4E8C1C9F" w14:textId="77777777" w:rsidTr="00D241C8">
        <w:tc>
          <w:tcPr>
            <w:tcW w:w="571" w:type="dxa"/>
          </w:tcPr>
          <w:p w14:paraId="56DC217E" w14:textId="17D522AA" w:rsidR="00716C29" w:rsidRPr="00625200" w:rsidRDefault="00716C29" w:rsidP="00D3700F">
            <w:pPr>
              <w:spacing w:after="40"/>
              <w:jc w:val="left"/>
              <w:rPr>
                <w:rFonts w:ascii="Arial" w:hAnsi="Arial" w:cs="Arial"/>
                <w:kern w:val="2"/>
                <w:sz w:val="18"/>
                <w:szCs w:val="18"/>
              </w:rPr>
            </w:pPr>
          </w:p>
        </w:tc>
        <w:tc>
          <w:tcPr>
            <w:tcW w:w="1079" w:type="dxa"/>
          </w:tcPr>
          <w:p w14:paraId="55FDB4B7" w14:textId="629A0876" w:rsidR="00716C29" w:rsidRPr="00625200" w:rsidRDefault="5935E65A" w:rsidP="00D3700F">
            <w:pPr>
              <w:spacing w:after="40"/>
              <w:jc w:val="right"/>
              <w:rPr>
                <w:rFonts w:ascii="Arial" w:hAnsi="Arial" w:cs="Arial"/>
                <w:kern w:val="2"/>
                <w:sz w:val="18"/>
                <w:szCs w:val="18"/>
              </w:rPr>
            </w:pPr>
            <w:r w:rsidRPr="00625200">
              <w:rPr>
                <w:rFonts w:ascii="Arial" w:hAnsi="Arial" w:cs="Arial"/>
                <w:kern w:val="2"/>
                <w:sz w:val="18"/>
                <w:szCs w:val="18"/>
              </w:rPr>
              <w:t>$500,00</w:t>
            </w:r>
            <w:r w:rsidR="1994286B" w:rsidRPr="00625200">
              <w:rPr>
                <w:rFonts w:ascii="Arial" w:hAnsi="Arial" w:cs="Arial"/>
                <w:kern w:val="2"/>
                <w:sz w:val="18"/>
                <w:szCs w:val="18"/>
              </w:rPr>
              <w:t>1</w:t>
            </w:r>
          </w:p>
        </w:tc>
        <w:tc>
          <w:tcPr>
            <w:tcW w:w="630" w:type="dxa"/>
          </w:tcPr>
          <w:p w14:paraId="010AB770" w14:textId="7E1B8714" w:rsidR="00716C29" w:rsidRPr="00625200" w:rsidRDefault="76FD227A" w:rsidP="00D3700F">
            <w:pPr>
              <w:spacing w:after="40"/>
              <w:jc w:val="center"/>
              <w:rPr>
                <w:rFonts w:ascii="Arial" w:hAnsi="Arial" w:cs="Arial"/>
                <w:kern w:val="2"/>
                <w:sz w:val="18"/>
                <w:szCs w:val="18"/>
              </w:rPr>
            </w:pPr>
            <w:r w:rsidRPr="5C4D234D">
              <w:rPr>
                <w:rFonts w:ascii="Arial" w:hAnsi="Arial" w:cs="Arial"/>
                <w:sz w:val="18"/>
                <w:szCs w:val="18"/>
              </w:rPr>
              <w:t>to</w:t>
            </w:r>
          </w:p>
        </w:tc>
        <w:tc>
          <w:tcPr>
            <w:tcW w:w="1116" w:type="dxa"/>
          </w:tcPr>
          <w:p w14:paraId="132BE6D5" w14:textId="4C7CFA6E" w:rsidR="00716C29" w:rsidRPr="00625200" w:rsidRDefault="5935E65A" w:rsidP="00D3700F">
            <w:pPr>
              <w:spacing w:after="40"/>
              <w:jc w:val="right"/>
              <w:rPr>
                <w:rFonts w:ascii="Arial" w:hAnsi="Arial" w:cs="Arial"/>
                <w:kern w:val="2"/>
                <w:sz w:val="18"/>
                <w:szCs w:val="18"/>
              </w:rPr>
            </w:pPr>
            <w:r w:rsidRPr="00625200">
              <w:rPr>
                <w:rFonts w:ascii="Arial" w:hAnsi="Arial" w:cs="Arial"/>
                <w:kern w:val="2"/>
                <w:sz w:val="18"/>
                <w:szCs w:val="18"/>
              </w:rPr>
              <w:t>$</w:t>
            </w:r>
            <w:r w:rsidR="21D528E1" w:rsidRPr="00625200">
              <w:rPr>
                <w:rFonts w:ascii="Arial" w:hAnsi="Arial" w:cs="Arial"/>
                <w:kern w:val="2"/>
                <w:sz w:val="18"/>
                <w:szCs w:val="18"/>
              </w:rPr>
              <w:t>2</w:t>
            </w:r>
            <w:r w:rsidRPr="00625200">
              <w:rPr>
                <w:rFonts w:ascii="Arial" w:hAnsi="Arial" w:cs="Arial"/>
                <w:kern w:val="2"/>
                <w:sz w:val="18"/>
                <w:szCs w:val="18"/>
              </w:rPr>
              <w:t>,000,000</w:t>
            </w:r>
          </w:p>
        </w:tc>
        <w:tc>
          <w:tcPr>
            <w:tcW w:w="135" w:type="dxa"/>
          </w:tcPr>
          <w:p w14:paraId="16433420" w14:textId="77777777" w:rsidR="00716C29" w:rsidRPr="00625200" w:rsidRDefault="00716C29" w:rsidP="00D3700F">
            <w:pPr>
              <w:spacing w:after="40"/>
              <w:jc w:val="left"/>
              <w:rPr>
                <w:rFonts w:ascii="Arial" w:hAnsi="Arial" w:cs="Arial"/>
                <w:kern w:val="2"/>
                <w:sz w:val="18"/>
                <w:szCs w:val="18"/>
              </w:rPr>
            </w:pPr>
          </w:p>
        </w:tc>
        <w:tc>
          <w:tcPr>
            <w:tcW w:w="1177" w:type="dxa"/>
            <w:gridSpan w:val="2"/>
          </w:tcPr>
          <w:p w14:paraId="2B337E30" w14:textId="5BF930F4" w:rsidR="00716C29" w:rsidRPr="00625200" w:rsidRDefault="00716C29" w:rsidP="00D3700F">
            <w:pPr>
              <w:spacing w:after="40"/>
              <w:jc w:val="right"/>
              <w:rPr>
                <w:rFonts w:ascii="Arial" w:hAnsi="Arial" w:cs="Arial"/>
                <w:kern w:val="2"/>
                <w:sz w:val="18"/>
                <w:szCs w:val="18"/>
              </w:rPr>
            </w:pPr>
            <w:r w:rsidRPr="00625200">
              <w:rPr>
                <w:rFonts w:ascii="Arial" w:hAnsi="Arial" w:cs="Arial"/>
                <w:kern w:val="2"/>
                <w:sz w:val="18"/>
                <w:szCs w:val="18"/>
              </w:rPr>
              <w:t>$</w:t>
            </w:r>
            <w:r w:rsidR="042B431F" w:rsidRPr="00625200">
              <w:rPr>
                <w:rFonts w:ascii="Arial" w:hAnsi="Arial" w:cs="Arial"/>
                <w:kern w:val="2"/>
                <w:sz w:val="18"/>
                <w:szCs w:val="18"/>
              </w:rPr>
              <w:t>1.00</w:t>
            </w:r>
          </w:p>
        </w:tc>
        <w:tc>
          <w:tcPr>
            <w:tcW w:w="1163" w:type="dxa"/>
          </w:tcPr>
          <w:p w14:paraId="717CCF5D" w14:textId="77777777" w:rsidR="00716C29" w:rsidRPr="00625200" w:rsidRDefault="00716C29" w:rsidP="00D3700F">
            <w:pPr>
              <w:spacing w:after="40"/>
              <w:jc w:val="left"/>
              <w:rPr>
                <w:rFonts w:ascii="Arial" w:hAnsi="Arial" w:cs="Arial"/>
                <w:kern w:val="2"/>
                <w:sz w:val="18"/>
                <w:szCs w:val="18"/>
              </w:rPr>
            </w:pPr>
            <w:r w:rsidRPr="00625200">
              <w:rPr>
                <w:rFonts w:ascii="Arial" w:hAnsi="Arial" w:cs="Arial"/>
                <w:kern w:val="2"/>
                <w:sz w:val="18"/>
                <w:szCs w:val="18"/>
              </w:rPr>
              <w:t xml:space="preserve"> per thousand</w:t>
            </w:r>
          </w:p>
        </w:tc>
        <w:tc>
          <w:tcPr>
            <w:tcW w:w="1450" w:type="dxa"/>
            <w:gridSpan w:val="2"/>
          </w:tcPr>
          <w:p w14:paraId="5C2C15C3" w14:textId="4F033F27" w:rsidR="00716C29" w:rsidRPr="00625200" w:rsidRDefault="006000CB" w:rsidP="00D3700F">
            <w:pPr>
              <w:spacing w:after="40"/>
              <w:jc w:val="right"/>
              <w:rPr>
                <w:rFonts w:ascii="Arial" w:hAnsi="Arial" w:cs="Arial"/>
                <w:kern w:val="2"/>
                <w:sz w:val="18"/>
                <w:szCs w:val="18"/>
              </w:rPr>
            </w:pPr>
            <w:r>
              <w:rPr>
                <w:rFonts w:ascii="Arial" w:hAnsi="Arial" w:cs="Arial"/>
                <w:kern w:val="2"/>
                <w:sz w:val="18"/>
                <w:szCs w:val="18"/>
              </w:rPr>
              <w:t>$1.00</w:t>
            </w:r>
          </w:p>
        </w:tc>
        <w:tc>
          <w:tcPr>
            <w:tcW w:w="1214" w:type="dxa"/>
          </w:tcPr>
          <w:p w14:paraId="224BBC86" w14:textId="77777777" w:rsidR="00716C29" w:rsidRPr="00625200" w:rsidRDefault="00716C29" w:rsidP="00D3700F">
            <w:pPr>
              <w:spacing w:after="40"/>
              <w:jc w:val="left"/>
              <w:rPr>
                <w:rFonts w:ascii="Arial" w:hAnsi="Arial" w:cs="Arial"/>
                <w:kern w:val="2"/>
                <w:sz w:val="18"/>
                <w:szCs w:val="18"/>
              </w:rPr>
            </w:pPr>
            <w:r w:rsidRPr="00625200">
              <w:rPr>
                <w:rFonts w:ascii="Arial" w:hAnsi="Arial" w:cs="Arial"/>
                <w:kern w:val="2"/>
                <w:sz w:val="18"/>
                <w:szCs w:val="18"/>
              </w:rPr>
              <w:t xml:space="preserve"> per thousand</w:t>
            </w:r>
          </w:p>
        </w:tc>
      </w:tr>
      <w:tr w:rsidR="0098305A" w:rsidRPr="00625200" w14:paraId="79D7EAEF" w14:textId="77777777" w:rsidTr="00D241C8">
        <w:tc>
          <w:tcPr>
            <w:tcW w:w="571" w:type="dxa"/>
          </w:tcPr>
          <w:p w14:paraId="7032E596" w14:textId="53F62F0C" w:rsidR="0098305A" w:rsidRPr="00625200" w:rsidRDefault="0098305A" w:rsidP="00D3700F">
            <w:pPr>
              <w:spacing w:after="40"/>
              <w:jc w:val="left"/>
              <w:rPr>
                <w:rFonts w:ascii="Arial" w:hAnsi="Arial" w:cs="Arial"/>
                <w:kern w:val="2"/>
                <w:sz w:val="18"/>
                <w:szCs w:val="18"/>
              </w:rPr>
            </w:pPr>
          </w:p>
        </w:tc>
        <w:tc>
          <w:tcPr>
            <w:tcW w:w="1079" w:type="dxa"/>
          </w:tcPr>
          <w:p w14:paraId="6B9EA5EC" w14:textId="44BDD6FD" w:rsidR="0098305A" w:rsidRPr="00625200" w:rsidRDefault="0098305A" w:rsidP="00D3700F">
            <w:pPr>
              <w:spacing w:after="40"/>
              <w:jc w:val="right"/>
              <w:rPr>
                <w:rFonts w:ascii="Arial" w:hAnsi="Arial" w:cs="Arial"/>
                <w:kern w:val="2"/>
                <w:sz w:val="18"/>
                <w:szCs w:val="18"/>
              </w:rPr>
            </w:pPr>
            <w:r w:rsidRPr="00625200">
              <w:rPr>
                <w:rFonts w:ascii="Arial" w:hAnsi="Arial" w:cs="Arial"/>
                <w:kern w:val="2"/>
                <w:sz w:val="18"/>
                <w:szCs w:val="18"/>
              </w:rPr>
              <w:t>$</w:t>
            </w:r>
            <w:r w:rsidR="69811A84" w:rsidRPr="00625200">
              <w:rPr>
                <w:rFonts w:ascii="Arial" w:hAnsi="Arial" w:cs="Arial"/>
                <w:kern w:val="2"/>
                <w:sz w:val="18"/>
                <w:szCs w:val="18"/>
              </w:rPr>
              <w:t>2</w:t>
            </w:r>
            <w:r w:rsidR="0021305C" w:rsidRPr="00625200">
              <w:rPr>
                <w:rFonts w:ascii="Arial" w:hAnsi="Arial" w:cs="Arial"/>
                <w:kern w:val="2"/>
                <w:sz w:val="18"/>
                <w:szCs w:val="18"/>
              </w:rPr>
              <w:t>,0</w:t>
            </w:r>
            <w:r w:rsidRPr="00625200">
              <w:rPr>
                <w:rFonts w:ascii="Arial" w:hAnsi="Arial" w:cs="Arial"/>
                <w:kern w:val="2"/>
                <w:sz w:val="18"/>
                <w:szCs w:val="18"/>
              </w:rPr>
              <w:t>00,00</w:t>
            </w:r>
            <w:r w:rsidR="4E68B974" w:rsidRPr="00625200">
              <w:rPr>
                <w:rFonts w:ascii="Arial" w:hAnsi="Arial" w:cs="Arial"/>
                <w:kern w:val="2"/>
                <w:sz w:val="18"/>
                <w:szCs w:val="18"/>
              </w:rPr>
              <w:t>1</w:t>
            </w:r>
          </w:p>
        </w:tc>
        <w:tc>
          <w:tcPr>
            <w:tcW w:w="630" w:type="dxa"/>
          </w:tcPr>
          <w:p w14:paraId="40504772" w14:textId="2825486B" w:rsidR="0098305A" w:rsidRPr="00625200" w:rsidRDefault="05AF5510" w:rsidP="00D3700F">
            <w:pPr>
              <w:spacing w:after="40"/>
              <w:jc w:val="center"/>
              <w:rPr>
                <w:rFonts w:ascii="Arial" w:hAnsi="Arial" w:cs="Arial"/>
                <w:kern w:val="2"/>
                <w:sz w:val="18"/>
                <w:szCs w:val="18"/>
              </w:rPr>
            </w:pPr>
            <w:r w:rsidRPr="5C4D234D">
              <w:rPr>
                <w:rFonts w:ascii="Arial" w:hAnsi="Arial" w:cs="Arial"/>
                <w:sz w:val="18"/>
                <w:szCs w:val="18"/>
              </w:rPr>
              <w:t>to</w:t>
            </w:r>
          </w:p>
        </w:tc>
        <w:tc>
          <w:tcPr>
            <w:tcW w:w="1116" w:type="dxa"/>
          </w:tcPr>
          <w:p w14:paraId="62D1ABDD" w14:textId="39C9339D" w:rsidR="0098305A" w:rsidRPr="00625200" w:rsidRDefault="0098305A" w:rsidP="00D3700F">
            <w:pPr>
              <w:spacing w:after="40"/>
              <w:jc w:val="right"/>
              <w:rPr>
                <w:rFonts w:ascii="Arial" w:hAnsi="Arial" w:cs="Arial"/>
                <w:kern w:val="2"/>
                <w:sz w:val="18"/>
                <w:szCs w:val="18"/>
              </w:rPr>
            </w:pPr>
            <w:r w:rsidRPr="00625200">
              <w:rPr>
                <w:rFonts w:ascii="Arial" w:hAnsi="Arial" w:cs="Arial"/>
                <w:kern w:val="2"/>
                <w:sz w:val="18"/>
                <w:szCs w:val="18"/>
              </w:rPr>
              <w:t>$</w:t>
            </w:r>
            <w:r w:rsidR="00A31341" w:rsidRPr="00625200">
              <w:rPr>
                <w:rFonts w:ascii="Arial" w:hAnsi="Arial" w:cs="Arial"/>
                <w:kern w:val="2"/>
                <w:sz w:val="18"/>
                <w:szCs w:val="18"/>
              </w:rPr>
              <w:t>10</w:t>
            </w:r>
            <w:r w:rsidRPr="00625200">
              <w:rPr>
                <w:rFonts w:ascii="Arial" w:hAnsi="Arial" w:cs="Arial"/>
                <w:kern w:val="2"/>
                <w:sz w:val="18"/>
                <w:szCs w:val="18"/>
              </w:rPr>
              <w:t>,</w:t>
            </w:r>
            <w:r w:rsidR="0021305C" w:rsidRPr="00625200">
              <w:rPr>
                <w:rFonts w:ascii="Arial" w:hAnsi="Arial" w:cs="Arial"/>
                <w:kern w:val="2"/>
                <w:sz w:val="18"/>
                <w:szCs w:val="18"/>
              </w:rPr>
              <w:t>0</w:t>
            </w:r>
            <w:r w:rsidRPr="00625200">
              <w:rPr>
                <w:rFonts w:ascii="Arial" w:hAnsi="Arial" w:cs="Arial"/>
                <w:kern w:val="2"/>
                <w:sz w:val="18"/>
                <w:szCs w:val="18"/>
              </w:rPr>
              <w:t>00,000</w:t>
            </w:r>
          </w:p>
        </w:tc>
        <w:tc>
          <w:tcPr>
            <w:tcW w:w="135" w:type="dxa"/>
          </w:tcPr>
          <w:p w14:paraId="20BB3A1E" w14:textId="77777777" w:rsidR="0098305A" w:rsidRPr="00625200" w:rsidRDefault="0098305A" w:rsidP="00D3700F">
            <w:pPr>
              <w:spacing w:after="40"/>
              <w:jc w:val="left"/>
              <w:rPr>
                <w:rFonts w:ascii="Arial" w:hAnsi="Arial" w:cs="Arial"/>
                <w:kern w:val="2"/>
                <w:sz w:val="18"/>
                <w:szCs w:val="18"/>
              </w:rPr>
            </w:pPr>
          </w:p>
        </w:tc>
        <w:tc>
          <w:tcPr>
            <w:tcW w:w="1177" w:type="dxa"/>
            <w:gridSpan w:val="2"/>
          </w:tcPr>
          <w:p w14:paraId="49B15BE7" w14:textId="01374706" w:rsidR="0098305A" w:rsidRPr="00625200" w:rsidRDefault="0098305A" w:rsidP="00D3700F">
            <w:pPr>
              <w:spacing w:after="40"/>
              <w:jc w:val="right"/>
              <w:rPr>
                <w:rFonts w:ascii="Arial" w:hAnsi="Arial" w:cs="Arial"/>
                <w:kern w:val="2"/>
                <w:sz w:val="18"/>
                <w:szCs w:val="18"/>
              </w:rPr>
            </w:pPr>
            <w:r w:rsidRPr="00625200">
              <w:rPr>
                <w:rFonts w:ascii="Arial" w:hAnsi="Arial" w:cs="Arial"/>
                <w:kern w:val="2"/>
                <w:sz w:val="18"/>
                <w:szCs w:val="18"/>
              </w:rPr>
              <w:t>$0.</w:t>
            </w:r>
            <w:r w:rsidR="1FAC02D8" w:rsidRPr="6C372643">
              <w:rPr>
                <w:rFonts w:ascii="Arial" w:hAnsi="Arial" w:cs="Arial"/>
                <w:sz w:val="18"/>
                <w:szCs w:val="18"/>
              </w:rPr>
              <w:t>8</w:t>
            </w:r>
            <w:r w:rsidRPr="00625200">
              <w:rPr>
                <w:rFonts w:ascii="Arial" w:hAnsi="Arial" w:cs="Arial"/>
                <w:kern w:val="2"/>
                <w:sz w:val="18"/>
                <w:szCs w:val="18"/>
              </w:rPr>
              <w:t>5</w:t>
            </w:r>
          </w:p>
        </w:tc>
        <w:tc>
          <w:tcPr>
            <w:tcW w:w="1163" w:type="dxa"/>
          </w:tcPr>
          <w:p w14:paraId="341F7FF1" w14:textId="77777777" w:rsidR="0098305A" w:rsidRPr="00625200" w:rsidRDefault="0098305A" w:rsidP="00D3700F">
            <w:pPr>
              <w:spacing w:after="40"/>
              <w:jc w:val="left"/>
              <w:rPr>
                <w:rFonts w:ascii="Arial" w:hAnsi="Arial" w:cs="Arial"/>
                <w:kern w:val="2"/>
                <w:sz w:val="18"/>
                <w:szCs w:val="18"/>
              </w:rPr>
            </w:pPr>
            <w:r w:rsidRPr="00625200">
              <w:rPr>
                <w:rFonts w:ascii="Arial" w:hAnsi="Arial" w:cs="Arial"/>
                <w:kern w:val="2"/>
                <w:sz w:val="18"/>
                <w:szCs w:val="18"/>
              </w:rPr>
              <w:t xml:space="preserve"> per thousand</w:t>
            </w:r>
          </w:p>
        </w:tc>
        <w:tc>
          <w:tcPr>
            <w:tcW w:w="1450" w:type="dxa"/>
            <w:gridSpan w:val="2"/>
          </w:tcPr>
          <w:p w14:paraId="377BFDEB" w14:textId="0B6AF2E6" w:rsidR="0098305A" w:rsidRPr="00625200" w:rsidRDefault="5935E65A" w:rsidP="00D3700F">
            <w:pPr>
              <w:spacing w:after="40"/>
              <w:jc w:val="right"/>
              <w:rPr>
                <w:rFonts w:ascii="Arial" w:hAnsi="Arial" w:cs="Arial"/>
                <w:kern w:val="2"/>
                <w:sz w:val="18"/>
                <w:szCs w:val="18"/>
              </w:rPr>
            </w:pPr>
            <w:r w:rsidRPr="00625200">
              <w:rPr>
                <w:rFonts w:ascii="Arial" w:hAnsi="Arial" w:cs="Arial"/>
                <w:kern w:val="2"/>
                <w:sz w:val="18"/>
                <w:szCs w:val="18"/>
              </w:rPr>
              <w:t>$0.</w:t>
            </w:r>
            <w:r w:rsidR="075ED62C" w:rsidRPr="6C372643">
              <w:rPr>
                <w:rFonts w:ascii="Arial" w:hAnsi="Arial" w:cs="Arial"/>
                <w:sz w:val="18"/>
                <w:szCs w:val="18"/>
              </w:rPr>
              <w:t>8</w:t>
            </w:r>
            <w:r w:rsidRPr="00625200">
              <w:rPr>
                <w:rFonts w:ascii="Arial" w:hAnsi="Arial" w:cs="Arial"/>
                <w:kern w:val="2"/>
                <w:sz w:val="18"/>
                <w:szCs w:val="18"/>
              </w:rPr>
              <w:t>5</w:t>
            </w:r>
          </w:p>
        </w:tc>
        <w:tc>
          <w:tcPr>
            <w:tcW w:w="1214" w:type="dxa"/>
          </w:tcPr>
          <w:p w14:paraId="2AC8F125" w14:textId="77777777" w:rsidR="0098305A" w:rsidRPr="00625200" w:rsidRDefault="0098305A" w:rsidP="00D3700F">
            <w:pPr>
              <w:spacing w:after="40"/>
              <w:jc w:val="left"/>
              <w:rPr>
                <w:rFonts w:ascii="Arial" w:hAnsi="Arial" w:cs="Arial"/>
                <w:kern w:val="2"/>
                <w:sz w:val="18"/>
                <w:szCs w:val="18"/>
              </w:rPr>
            </w:pPr>
            <w:r w:rsidRPr="00625200">
              <w:rPr>
                <w:rFonts w:ascii="Arial" w:hAnsi="Arial" w:cs="Arial"/>
                <w:kern w:val="2"/>
                <w:sz w:val="18"/>
                <w:szCs w:val="18"/>
              </w:rPr>
              <w:t xml:space="preserve"> per thousand</w:t>
            </w:r>
          </w:p>
        </w:tc>
      </w:tr>
      <w:tr w:rsidR="0098305A" w:rsidRPr="00625200" w14:paraId="6D5D5C6E" w14:textId="77777777" w:rsidTr="00D241C8">
        <w:tc>
          <w:tcPr>
            <w:tcW w:w="571" w:type="dxa"/>
          </w:tcPr>
          <w:p w14:paraId="6B5CD280" w14:textId="77777777" w:rsidR="0098305A" w:rsidRPr="00625200" w:rsidRDefault="0098305A" w:rsidP="00D3700F">
            <w:pPr>
              <w:spacing w:after="40"/>
              <w:jc w:val="left"/>
              <w:rPr>
                <w:rFonts w:ascii="Arial" w:hAnsi="Arial" w:cs="Arial"/>
                <w:kern w:val="2"/>
                <w:sz w:val="18"/>
                <w:szCs w:val="18"/>
              </w:rPr>
            </w:pPr>
          </w:p>
        </w:tc>
        <w:tc>
          <w:tcPr>
            <w:tcW w:w="1079" w:type="dxa"/>
          </w:tcPr>
          <w:p w14:paraId="6304661E" w14:textId="7CA573D6" w:rsidR="0098305A" w:rsidRPr="00625200" w:rsidRDefault="0098305A" w:rsidP="00D3700F">
            <w:pPr>
              <w:spacing w:after="40"/>
              <w:jc w:val="right"/>
              <w:rPr>
                <w:rFonts w:ascii="Arial" w:hAnsi="Arial" w:cs="Arial"/>
                <w:kern w:val="2"/>
                <w:sz w:val="18"/>
                <w:szCs w:val="18"/>
              </w:rPr>
            </w:pPr>
            <w:r w:rsidRPr="00625200">
              <w:rPr>
                <w:rFonts w:ascii="Arial" w:hAnsi="Arial" w:cs="Arial"/>
                <w:kern w:val="2"/>
                <w:sz w:val="18"/>
                <w:szCs w:val="18"/>
              </w:rPr>
              <w:t>$</w:t>
            </w:r>
            <w:r w:rsidR="68EBFE0F" w:rsidRPr="6C372643">
              <w:rPr>
                <w:rFonts w:ascii="Arial" w:hAnsi="Arial" w:cs="Arial"/>
                <w:sz w:val="18"/>
                <w:szCs w:val="18"/>
              </w:rPr>
              <w:t>10</w:t>
            </w:r>
            <w:r w:rsidRPr="00625200">
              <w:rPr>
                <w:rFonts w:ascii="Arial" w:hAnsi="Arial" w:cs="Arial"/>
                <w:kern w:val="2"/>
                <w:sz w:val="18"/>
                <w:szCs w:val="18"/>
              </w:rPr>
              <w:t>,</w:t>
            </w:r>
            <w:r w:rsidR="0021305C" w:rsidRPr="00625200">
              <w:rPr>
                <w:rFonts w:ascii="Arial" w:hAnsi="Arial" w:cs="Arial"/>
                <w:kern w:val="2"/>
                <w:sz w:val="18"/>
                <w:szCs w:val="18"/>
              </w:rPr>
              <w:t>0</w:t>
            </w:r>
            <w:r w:rsidRPr="00625200">
              <w:rPr>
                <w:rFonts w:ascii="Arial" w:hAnsi="Arial" w:cs="Arial"/>
                <w:kern w:val="2"/>
                <w:sz w:val="18"/>
                <w:szCs w:val="18"/>
              </w:rPr>
              <w:t>00</w:t>
            </w:r>
            <w:r w:rsidR="00D241C8">
              <w:rPr>
                <w:rFonts w:ascii="Arial" w:hAnsi="Arial" w:cs="Arial"/>
                <w:kern w:val="2"/>
                <w:sz w:val="18"/>
                <w:szCs w:val="18"/>
              </w:rPr>
              <w:t>,001</w:t>
            </w:r>
          </w:p>
        </w:tc>
        <w:tc>
          <w:tcPr>
            <w:tcW w:w="630" w:type="dxa"/>
          </w:tcPr>
          <w:p w14:paraId="3ACE8336" w14:textId="77777777" w:rsidR="0098305A" w:rsidRPr="00625200" w:rsidRDefault="0098305A" w:rsidP="00D3700F">
            <w:pPr>
              <w:spacing w:after="40"/>
              <w:jc w:val="center"/>
              <w:rPr>
                <w:rFonts w:ascii="Arial" w:hAnsi="Arial" w:cs="Arial"/>
                <w:kern w:val="2"/>
                <w:sz w:val="18"/>
                <w:szCs w:val="18"/>
              </w:rPr>
            </w:pPr>
            <w:r w:rsidRPr="00625200">
              <w:rPr>
                <w:rFonts w:ascii="Arial" w:hAnsi="Arial" w:cs="Arial"/>
                <w:kern w:val="2"/>
                <w:sz w:val="18"/>
                <w:szCs w:val="18"/>
              </w:rPr>
              <w:t>to</w:t>
            </w:r>
          </w:p>
        </w:tc>
        <w:tc>
          <w:tcPr>
            <w:tcW w:w="1116" w:type="dxa"/>
          </w:tcPr>
          <w:p w14:paraId="1F8C8131" w14:textId="77777777" w:rsidR="0098305A" w:rsidRPr="00625200" w:rsidRDefault="0098305A" w:rsidP="00D3700F">
            <w:pPr>
              <w:spacing w:after="40"/>
              <w:jc w:val="right"/>
              <w:rPr>
                <w:rFonts w:ascii="Arial" w:hAnsi="Arial" w:cs="Arial"/>
                <w:kern w:val="2"/>
                <w:sz w:val="18"/>
                <w:szCs w:val="18"/>
              </w:rPr>
            </w:pPr>
            <w:r w:rsidRPr="00625200">
              <w:rPr>
                <w:rFonts w:ascii="Arial" w:hAnsi="Arial" w:cs="Arial"/>
                <w:kern w:val="2"/>
                <w:sz w:val="18"/>
                <w:szCs w:val="18"/>
              </w:rPr>
              <w:t>$50,000,000</w:t>
            </w:r>
          </w:p>
        </w:tc>
        <w:tc>
          <w:tcPr>
            <w:tcW w:w="135" w:type="dxa"/>
          </w:tcPr>
          <w:p w14:paraId="6C44EEB8" w14:textId="77777777" w:rsidR="0098305A" w:rsidRPr="00625200" w:rsidRDefault="0098305A" w:rsidP="00D3700F">
            <w:pPr>
              <w:spacing w:after="40"/>
              <w:jc w:val="left"/>
              <w:rPr>
                <w:rFonts w:ascii="Arial" w:hAnsi="Arial" w:cs="Arial"/>
                <w:kern w:val="2"/>
                <w:sz w:val="18"/>
                <w:szCs w:val="18"/>
              </w:rPr>
            </w:pPr>
          </w:p>
        </w:tc>
        <w:tc>
          <w:tcPr>
            <w:tcW w:w="1177" w:type="dxa"/>
            <w:gridSpan w:val="2"/>
          </w:tcPr>
          <w:p w14:paraId="2B86F258" w14:textId="47AD79BC" w:rsidR="0098305A" w:rsidRPr="00625200" w:rsidRDefault="0098305A" w:rsidP="00D3700F">
            <w:pPr>
              <w:spacing w:after="40"/>
              <w:jc w:val="right"/>
              <w:rPr>
                <w:rFonts w:ascii="Arial" w:hAnsi="Arial" w:cs="Arial"/>
                <w:kern w:val="2"/>
                <w:sz w:val="18"/>
                <w:szCs w:val="18"/>
              </w:rPr>
            </w:pPr>
            <w:r w:rsidRPr="00625200">
              <w:rPr>
                <w:rFonts w:ascii="Arial" w:hAnsi="Arial" w:cs="Arial"/>
                <w:kern w:val="2"/>
                <w:sz w:val="18"/>
                <w:szCs w:val="18"/>
              </w:rPr>
              <w:t>$0.</w:t>
            </w:r>
            <w:r w:rsidRPr="5C4D234D" w:rsidDel="0021305C">
              <w:rPr>
                <w:rFonts w:ascii="Arial" w:hAnsi="Arial" w:cs="Arial"/>
                <w:sz w:val="18"/>
                <w:szCs w:val="18"/>
              </w:rPr>
              <w:t>6</w:t>
            </w:r>
            <w:r w:rsidRPr="00625200">
              <w:rPr>
                <w:rFonts w:ascii="Arial" w:hAnsi="Arial" w:cs="Arial"/>
                <w:kern w:val="2"/>
                <w:sz w:val="18"/>
                <w:szCs w:val="18"/>
              </w:rPr>
              <w:t>5</w:t>
            </w:r>
          </w:p>
        </w:tc>
        <w:tc>
          <w:tcPr>
            <w:tcW w:w="1163" w:type="dxa"/>
          </w:tcPr>
          <w:p w14:paraId="730BEA37" w14:textId="77777777" w:rsidR="0098305A" w:rsidRPr="00625200" w:rsidRDefault="0098305A" w:rsidP="00D3700F">
            <w:pPr>
              <w:spacing w:after="40"/>
              <w:jc w:val="left"/>
              <w:rPr>
                <w:rFonts w:ascii="Arial" w:hAnsi="Arial" w:cs="Arial"/>
                <w:kern w:val="2"/>
                <w:sz w:val="18"/>
                <w:szCs w:val="18"/>
              </w:rPr>
            </w:pPr>
            <w:r w:rsidRPr="00625200">
              <w:rPr>
                <w:rFonts w:ascii="Arial" w:hAnsi="Arial" w:cs="Arial"/>
                <w:kern w:val="2"/>
                <w:sz w:val="18"/>
                <w:szCs w:val="18"/>
              </w:rPr>
              <w:t xml:space="preserve"> per thousand</w:t>
            </w:r>
          </w:p>
        </w:tc>
        <w:tc>
          <w:tcPr>
            <w:tcW w:w="1450" w:type="dxa"/>
            <w:gridSpan w:val="2"/>
          </w:tcPr>
          <w:p w14:paraId="2B252E6D" w14:textId="53B3C04E" w:rsidR="0098305A" w:rsidRPr="00625200" w:rsidRDefault="0098305A" w:rsidP="00D3700F">
            <w:pPr>
              <w:spacing w:after="40"/>
              <w:jc w:val="right"/>
              <w:rPr>
                <w:rFonts w:ascii="Arial" w:hAnsi="Arial" w:cs="Arial"/>
                <w:kern w:val="2"/>
                <w:sz w:val="18"/>
                <w:szCs w:val="18"/>
              </w:rPr>
            </w:pPr>
            <w:r w:rsidRPr="00625200">
              <w:rPr>
                <w:rFonts w:ascii="Arial" w:hAnsi="Arial" w:cs="Arial"/>
                <w:kern w:val="2"/>
                <w:sz w:val="18"/>
                <w:szCs w:val="18"/>
              </w:rPr>
              <w:t>$0.</w:t>
            </w:r>
            <w:r w:rsidRPr="5C4D234D" w:rsidDel="0021305C">
              <w:rPr>
                <w:rFonts w:ascii="Arial" w:hAnsi="Arial" w:cs="Arial"/>
                <w:sz w:val="18"/>
                <w:szCs w:val="18"/>
              </w:rPr>
              <w:t>6</w:t>
            </w:r>
            <w:r w:rsidRPr="5C4D234D" w:rsidDel="0098305A">
              <w:rPr>
                <w:rFonts w:ascii="Arial" w:hAnsi="Arial" w:cs="Arial"/>
                <w:sz w:val="18"/>
                <w:szCs w:val="18"/>
              </w:rPr>
              <w:t>5</w:t>
            </w:r>
          </w:p>
        </w:tc>
        <w:tc>
          <w:tcPr>
            <w:tcW w:w="1214" w:type="dxa"/>
          </w:tcPr>
          <w:p w14:paraId="4C72DB8C" w14:textId="77777777" w:rsidR="0098305A" w:rsidRPr="00625200" w:rsidRDefault="0098305A" w:rsidP="00D3700F">
            <w:pPr>
              <w:spacing w:after="40"/>
              <w:jc w:val="left"/>
              <w:rPr>
                <w:rFonts w:ascii="Arial" w:hAnsi="Arial" w:cs="Arial"/>
                <w:kern w:val="2"/>
                <w:sz w:val="18"/>
                <w:szCs w:val="18"/>
              </w:rPr>
            </w:pPr>
            <w:r w:rsidRPr="00625200">
              <w:rPr>
                <w:rFonts w:ascii="Arial" w:hAnsi="Arial" w:cs="Arial"/>
                <w:kern w:val="2"/>
                <w:sz w:val="18"/>
                <w:szCs w:val="18"/>
              </w:rPr>
              <w:t xml:space="preserve"> per thousand</w:t>
            </w:r>
          </w:p>
        </w:tc>
      </w:tr>
      <w:tr w:rsidR="001A4959" w:rsidRPr="00625200" w14:paraId="71B30B43" w14:textId="77777777" w:rsidTr="00D241C8">
        <w:tc>
          <w:tcPr>
            <w:tcW w:w="571" w:type="dxa"/>
          </w:tcPr>
          <w:p w14:paraId="19DB81B7" w14:textId="77777777" w:rsidR="001A4959" w:rsidRPr="00625200" w:rsidRDefault="001A4959" w:rsidP="00D3700F">
            <w:pPr>
              <w:spacing w:after="40"/>
              <w:jc w:val="left"/>
              <w:rPr>
                <w:rFonts w:ascii="Arial" w:hAnsi="Arial" w:cs="Arial"/>
                <w:kern w:val="2"/>
                <w:sz w:val="18"/>
                <w:szCs w:val="18"/>
              </w:rPr>
            </w:pPr>
          </w:p>
        </w:tc>
        <w:tc>
          <w:tcPr>
            <w:tcW w:w="1079" w:type="dxa"/>
          </w:tcPr>
          <w:p w14:paraId="150BF77D" w14:textId="77777777" w:rsidR="001A4959" w:rsidRPr="00625200" w:rsidRDefault="001A4959" w:rsidP="00D3700F">
            <w:pPr>
              <w:spacing w:after="40"/>
              <w:jc w:val="right"/>
              <w:rPr>
                <w:rFonts w:ascii="Arial" w:hAnsi="Arial" w:cs="Arial"/>
                <w:kern w:val="2"/>
                <w:sz w:val="18"/>
                <w:szCs w:val="18"/>
              </w:rPr>
            </w:pPr>
          </w:p>
        </w:tc>
        <w:tc>
          <w:tcPr>
            <w:tcW w:w="630" w:type="dxa"/>
          </w:tcPr>
          <w:p w14:paraId="07223E1F" w14:textId="77777777" w:rsidR="001A4959" w:rsidRPr="00625200" w:rsidRDefault="001A4959" w:rsidP="00D3700F">
            <w:pPr>
              <w:spacing w:after="40"/>
              <w:jc w:val="center"/>
              <w:rPr>
                <w:rFonts w:ascii="Arial" w:hAnsi="Arial" w:cs="Arial"/>
                <w:kern w:val="2"/>
                <w:sz w:val="18"/>
                <w:szCs w:val="18"/>
              </w:rPr>
            </w:pPr>
          </w:p>
        </w:tc>
        <w:tc>
          <w:tcPr>
            <w:tcW w:w="1116" w:type="dxa"/>
          </w:tcPr>
          <w:p w14:paraId="47B5D838" w14:textId="77777777" w:rsidR="001A4959" w:rsidRPr="00625200" w:rsidRDefault="001A4959" w:rsidP="00D3700F">
            <w:pPr>
              <w:spacing w:after="40"/>
              <w:jc w:val="right"/>
              <w:rPr>
                <w:rFonts w:ascii="Arial" w:hAnsi="Arial" w:cs="Arial"/>
                <w:kern w:val="2"/>
                <w:sz w:val="18"/>
                <w:szCs w:val="18"/>
              </w:rPr>
            </w:pPr>
          </w:p>
        </w:tc>
        <w:tc>
          <w:tcPr>
            <w:tcW w:w="135" w:type="dxa"/>
          </w:tcPr>
          <w:p w14:paraId="2634B596" w14:textId="77777777" w:rsidR="001A4959" w:rsidRPr="00625200" w:rsidRDefault="001A4959" w:rsidP="00D3700F">
            <w:pPr>
              <w:spacing w:after="40"/>
              <w:jc w:val="left"/>
              <w:rPr>
                <w:rFonts w:ascii="Arial" w:hAnsi="Arial" w:cs="Arial"/>
                <w:kern w:val="2"/>
                <w:sz w:val="18"/>
                <w:szCs w:val="18"/>
              </w:rPr>
            </w:pPr>
          </w:p>
        </w:tc>
        <w:tc>
          <w:tcPr>
            <w:tcW w:w="1177" w:type="dxa"/>
            <w:gridSpan w:val="2"/>
          </w:tcPr>
          <w:p w14:paraId="4F26FBC8" w14:textId="77777777" w:rsidR="001A4959" w:rsidRPr="00625200" w:rsidRDefault="001A4959" w:rsidP="00D3700F">
            <w:pPr>
              <w:spacing w:after="40"/>
              <w:jc w:val="right"/>
              <w:rPr>
                <w:rFonts w:ascii="Arial" w:hAnsi="Arial" w:cs="Arial"/>
                <w:kern w:val="2"/>
                <w:sz w:val="18"/>
                <w:szCs w:val="18"/>
              </w:rPr>
            </w:pPr>
          </w:p>
        </w:tc>
        <w:tc>
          <w:tcPr>
            <w:tcW w:w="1163" w:type="dxa"/>
          </w:tcPr>
          <w:p w14:paraId="2595FBA7" w14:textId="77777777" w:rsidR="001A4959" w:rsidRPr="00625200" w:rsidRDefault="001A4959" w:rsidP="00D3700F">
            <w:pPr>
              <w:spacing w:after="40"/>
              <w:jc w:val="left"/>
              <w:rPr>
                <w:rFonts w:ascii="Arial" w:hAnsi="Arial" w:cs="Arial"/>
                <w:kern w:val="2"/>
                <w:sz w:val="18"/>
                <w:szCs w:val="18"/>
              </w:rPr>
            </w:pPr>
          </w:p>
        </w:tc>
        <w:tc>
          <w:tcPr>
            <w:tcW w:w="1450" w:type="dxa"/>
            <w:gridSpan w:val="2"/>
          </w:tcPr>
          <w:p w14:paraId="05E400E6" w14:textId="77777777" w:rsidR="001A4959" w:rsidRPr="00625200" w:rsidRDefault="001A4959" w:rsidP="00D3700F">
            <w:pPr>
              <w:spacing w:after="40"/>
              <w:jc w:val="right"/>
              <w:rPr>
                <w:rFonts w:ascii="Arial" w:hAnsi="Arial" w:cs="Arial"/>
                <w:kern w:val="2"/>
                <w:sz w:val="18"/>
                <w:szCs w:val="18"/>
              </w:rPr>
            </w:pPr>
          </w:p>
        </w:tc>
        <w:tc>
          <w:tcPr>
            <w:tcW w:w="1214" w:type="dxa"/>
          </w:tcPr>
          <w:p w14:paraId="1703391F" w14:textId="77777777" w:rsidR="001A4959" w:rsidRPr="00625200" w:rsidRDefault="001A4959" w:rsidP="00D3700F">
            <w:pPr>
              <w:spacing w:after="40"/>
              <w:jc w:val="left"/>
              <w:rPr>
                <w:rFonts w:ascii="Arial" w:hAnsi="Arial" w:cs="Arial"/>
                <w:kern w:val="2"/>
                <w:sz w:val="18"/>
                <w:szCs w:val="18"/>
              </w:rPr>
            </w:pPr>
          </w:p>
        </w:tc>
      </w:tr>
    </w:tbl>
    <w:p w14:paraId="31AFC83F" w14:textId="42CF7A5D" w:rsidR="0032556D" w:rsidRDefault="0032556D" w:rsidP="001A4959">
      <w:pPr>
        <w:pStyle w:val="Heading4"/>
        <w:numPr>
          <w:ilvl w:val="0"/>
          <w:numId w:val="0"/>
        </w:numPr>
        <w:ind w:left="1440"/>
      </w:pPr>
      <w:r>
        <w:t xml:space="preserve">The </w:t>
      </w:r>
      <w:r w:rsidRPr="001F2ADD">
        <w:t>first $</w:t>
      </w:r>
      <w:r w:rsidR="001F2ADD" w:rsidRPr="001F2ADD">
        <w:t>2</w:t>
      </w:r>
      <w:r w:rsidR="0098305A" w:rsidRPr="001F2ADD">
        <w:t>,</w:t>
      </w:r>
      <w:r w:rsidR="00E00594" w:rsidRPr="001F2ADD">
        <w:t>0</w:t>
      </w:r>
      <w:r w:rsidRPr="001F2ADD">
        <w:t>00,000 of th</w:t>
      </w:r>
      <w:r>
        <w:t xml:space="preserve">e </w:t>
      </w:r>
      <w:r w:rsidR="0020234C">
        <w:t>Original Policy Rate</w:t>
      </w:r>
      <w:r>
        <w:t xml:space="preserve"> for minimum and maximum charges are set forth in the attached Appendix A. </w:t>
      </w:r>
    </w:p>
    <w:p w14:paraId="6B13B28E" w14:textId="3216DE59" w:rsidR="00986EDB" w:rsidRDefault="00E00594" w:rsidP="001A4959">
      <w:pPr>
        <w:pStyle w:val="Heading4"/>
        <w:numPr>
          <w:ilvl w:val="2"/>
          <w:numId w:val="0"/>
        </w:numPr>
        <w:ind w:left="1440"/>
      </w:pPr>
      <w:r>
        <w:t>Title agents issuing</w:t>
      </w:r>
      <w:r w:rsidR="00986EDB">
        <w:t xml:space="preserve"> commitment</w:t>
      </w:r>
      <w:r>
        <w:t>s</w:t>
      </w:r>
      <w:r w:rsidR="00986EDB">
        <w:t xml:space="preserve"> in excess of $</w:t>
      </w:r>
      <w:r w:rsidR="00D241C8">
        <w:t>3,000,000 must</w:t>
      </w:r>
      <w:r>
        <w:t xml:space="preserve"> first</w:t>
      </w:r>
      <w:r w:rsidR="00986EDB">
        <w:t xml:space="preserve"> obtain written approval from the </w:t>
      </w:r>
      <w:r w:rsidR="00B94DF7">
        <w:t>Advocus</w:t>
      </w:r>
      <w:r>
        <w:t xml:space="preserve"> </w:t>
      </w:r>
      <w:r w:rsidR="00986EDB">
        <w:t xml:space="preserve">Wisconsin office. The title agent </w:t>
      </w:r>
      <w:r>
        <w:t>is required to</w:t>
      </w:r>
      <w:r w:rsidR="00986EDB">
        <w:t xml:space="preserve"> submit a “Request for Authorization to Issue”</w:t>
      </w:r>
      <w:r>
        <w:t xml:space="preserve"> (</w:t>
      </w:r>
      <w:r w:rsidR="00B94DF7">
        <w:t>Advocus</w:t>
      </w:r>
      <w:r>
        <w:t xml:space="preserve"> Form 4222)</w:t>
      </w:r>
      <w:r w:rsidR="00986EDB">
        <w:t xml:space="preserve"> and, upon written approval, the </w:t>
      </w:r>
      <w:r>
        <w:t xml:space="preserve">title </w:t>
      </w:r>
      <w:r w:rsidR="00986EDB">
        <w:t>agent will be authorized to issue the commitment.</w:t>
      </w:r>
      <w:r>
        <w:t xml:space="preserve"> In addition, for any proposed title commitment in excess of $3,000,000 t</w:t>
      </w:r>
      <w:r w:rsidR="007043AB">
        <w:t>he title agent must obtain rate approval from the Managing Attorney to determine if additional premium should be charged for reinsurance expenses.</w:t>
      </w:r>
      <w:r>
        <w:t xml:space="preserve"> See Section I, Paragraph</w:t>
      </w:r>
      <w:r w:rsidR="007043AB">
        <w:t>s</w:t>
      </w:r>
      <w:r>
        <w:t xml:space="preserve"> B</w:t>
      </w:r>
      <w:r w:rsidR="007043AB">
        <w:t xml:space="preserve"> </w:t>
      </w:r>
      <w:r>
        <w:t>(2)</w:t>
      </w:r>
      <w:r w:rsidR="007043AB">
        <w:t xml:space="preserve"> and (7)</w:t>
      </w:r>
      <w:r>
        <w:t>.</w:t>
      </w:r>
    </w:p>
    <w:p w14:paraId="3F85824D" w14:textId="77777777" w:rsidR="0032556D" w:rsidRDefault="0032556D" w:rsidP="001A4959">
      <w:pPr>
        <w:pStyle w:val="Heading3"/>
      </w:pPr>
      <w:bookmarkStart w:id="14" w:name="_Toc30012882"/>
      <w:bookmarkStart w:id="15" w:name="_Toc138852522"/>
      <w:r>
        <w:t>Reissue Rate</w:t>
      </w:r>
      <w:bookmarkEnd w:id="14"/>
      <w:bookmarkEnd w:id="15"/>
    </w:p>
    <w:p w14:paraId="7FE487EE" w14:textId="6C400895" w:rsidR="004E11CD" w:rsidRDefault="008D545D" w:rsidP="001A4959">
      <w:pPr>
        <w:pStyle w:val="Heading4"/>
        <w:numPr>
          <w:ilvl w:val="0"/>
          <w:numId w:val="0"/>
        </w:numPr>
        <w:ind w:left="1440"/>
      </w:pPr>
      <w:r w:rsidRPr="008D545D">
        <w:t>The Reissue Rate can be used in conjunction with a</w:t>
      </w:r>
      <w:r w:rsidR="00986EDB">
        <w:t xml:space="preserve"> prior</w:t>
      </w:r>
      <w:r w:rsidRPr="008D545D">
        <w:t xml:space="preserve"> Abstract or a Policy of Title Insurance</w:t>
      </w:r>
      <w:r>
        <w:t>,</w:t>
      </w:r>
      <w:r w:rsidRPr="008D545D">
        <w:t xml:space="preserve"> be it an </w:t>
      </w:r>
      <w:r w:rsidR="00202638">
        <w:t>Owner’s Policy</w:t>
      </w:r>
      <w:r w:rsidRPr="008D545D">
        <w:t xml:space="preserve">, Bifurcated </w:t>
      </w:r>
      <w:r w:rsidR="00202638">
        <w:t>Owner’s Policy</w:t>
      </w:r>
      <w:r w:rsidRPr="008D545D">
        <w:t xml:space="preserve">, Leasehold </w:t>
      </w:r>
      <w:r w:rsidR="00202638">
        <w:t>Owner’s Policy</w:t>
      </w:r>
      <w:r w:rsidRPr="008D545D">
        <w:t xml:space="preserve">, Leasehold Loan Policy, </w:t>
      </w:r>
      <w:r w:rsidR="00957EF9">
        <w:t xml:space="preserve">or </w:t>
      </w:r>
      <w:r w:rsidRPr="008D545D">
        <w:t xml:space="preserve">Residential </w:t>
      </w:r>
      <w:r>
        <w:t>or</w:t>
      </w:r>
      <w:r w:rsidRPr="008D545D">
        <w:t xml:space="preserve"> Non-Residential Loan Policy. The Reissue Rate can also be used with a</w:t>
      </w:r>
      <w:r w:rsidR="00567AC1">
        <w:t xml:space="preserve"> prior</w:t>
      </w:r>
      <w:r w:rsidRPr="008D545D">
        <w:t xml:space="preserve"> Commitment</w:t>
      </w:r>
      <w:r w:rsidR="00705138">
        <w:t xml:space="preserve">, </w:t>
      </w:r>
      <w:r w:rsidR="00705138" w:rsidRPr="008D545D">
        <w:t>provided</w:t>
      </w:r>
      <w:r w:rsidRPr="008D545D">
        <w:t xml:space="preserve"> there is evidence that the proposed Insured named therein was entitled to a policy. </w:t>
      </w:r>
      <w:r w:rsidR="00567AC1" w:rsidRPr="00567AC1">
        <w:t>It is not available for use with the Residential Refinance Loan Policy Rate or with the Simultaneous Rate. A copy of the prior Policy, Abstract</w:t>
      </w:r>
      <w:r w:rsidR="00567AC1">
        <w:t>,</w:t>
      </w:r>
      <w:r w:rsidR="00567AC1" w:rsidRPr="00567AC1">
        <w:t xml:space="preserve"> or Commitment</w:t>
      </w:r>
      <w:r w:rsidR="00567AC1">
        <w:t>,</w:t>
      </w:r>
      <w:r w:rsidR="00567AC1" w:rsidRPr="00567AC1">
        <w:t xml:space="preserve"> for which the </w:t>
      </w:r>
      <w:r w:rsidR="00BA392A">
        <w:t>Reissue Rate</w:t>
      </w:r>
      <w:r w:rsidR="00567AC1" w:rsidRPr="00567AC1">
        <w:t xml:space="preserve"> was determined appropriate, must be maintained in the issuing agent’s office. The Reissue Rate is calculated at 8</w:t>
      </w:r>
      <w:r w:rsidR="00DA59B2">
        <w:t>5</w:t>
      </w:r>
      <w:r w:rsidR="00567AC1">
        <w:t xml:space="preserve">% of the </w:t>
      </w:r>
      <w:r w:rsidR="0020234C">
        <w:t>Original Policy Rate</w:t>
      </w:r>
      <w:r w:rsidR="00567AC1">
        <w:t>.</w:t>
      </w:r>
      <w:r w:rsidR="0021305C">
        <w:t xml:space="preserve"> The minimum premium shall not be less than $</w:t>
      </w:r>
      <w:r w:rsidR="00DA59B2">
        <w:t>525</w:t>
      </w:r>
      <w:r w:rsidR="0021305C">
        <w:t>.</w:t>
      </w:r>
      <w:r w:rsidR="00986EDB">
        <w:t xml:space="preserve"> This Reissue Rate shall not be applied in addition to any other discount.</w:t>
      </w:r>
    </w:p>
    <w:p w14:paraId="6F963B5B" w14:textId="77777777" w:rsidR="004E11CD" w:rsidRDefault="004E11CD">
      <w:pPr>
        <w:spacing w:after="0"/>
        <w:jc w:val="left"/>
        <w:rPr>
          <w:rFonts w:ascii="Arial" w:hAnsi="Arial"/>
          <w:sz w:val="18"/>
        </w:rPr>
      </w:pPr>
      <w:r>
        <w:br w:type="page"/>
      </w:r>
    </w:p>
    <w:p w14:paraId="7D3FABFE" w14:textId="6B666838" w:rsidR="0032556D" w:rsidRDefault="0032556D" w:rsidP="001A4959">
      <w:pPr>
        <w:pStyle w:val="Heading3"/>
      </w:pPr>
      <w:bookmarkStart w:id="16" w:name="_Toc30012883"/>
      <w:bookmarkStart w:id="17" w:name="_Toc138852523"/>
      <w:r>
        <w:lastRenderedPageBreak/>
        <w:t>Residential Refinance Loan Policy Rate</w:t>
      </w:r>
      <w:bookmarkEnd w:id="16"/>
      <w:r w:rsidR="00DA59B2">
        <w:t xml:space="preserve"> – Expedited and Full Search</w:t>
      </w:r>
      <w:bookmarkEnd w:id="17"/>
    </w:p>
    <w:p w14:paraId="0EB63D44" w14:textId="77777777" w:rsidR="0032556D" w:rsidRPr="00EC53BE" w:rsidRDefault="0032556D" w:rsidP="001A4959">
      <w:pPr>
        <w:pStyle w:val="Heading4"/>
        <w:rPr>
          <w:b/>
        </w:rPr>
      </w:pPr>
      <w:r w:rsidRPr="00EC53BE">
        <w:rPr>
          <w:b/>
        </w:rPr>
        <w:t>Expedited Searches</w:t>
      </w:r>
    </w:p>
    <w:p w14:paraId="00591546" w14:textId="743EAD86" w:rsidR="0032556D" w:rsidRDefault="000C0210" w:rsidP="001A4959">
      <w:pPr>
        <w:pStyle w:val="Heading5"/>
        <w:numPr>
          <w:ilvl w:val="3"/>
          <w:numId w:val="0"/>
        </w:numPr>
        <w:ind w:left="2160"/>
      </w:pPr>
      <w:r>
        <w:t xml:space="preserve">A Residential Refinance Loan Policy Rate (expedited search) is available for residential refinances of an existing mortgage debt with the same or different lender, a </w:t>
      </w:r>
      <w:r w:rsidR="694DAD5E">
        <w:t xml:space="preserve">residential </w:t>
      </w:r>
      <w:r>
        <w:t>junior mortgage, or for a mortgage on a lien-free residential property</w:t>
      </w:r>
      <w:r w:rsidR="00D241C8">
        <w:t xml:space="preserve">. </w:t>
      </w:r>
      <w:r>
        <w:t>The premium</w:t>
      </w:r>
      <w:r w:rsidR="0032556D">
        <w:t xml:space="preserve"> shall be charged at the following rate where the search is expedited:</w:t>
      </w:r>
    </w:p>
    <w:tbl>
      <w:tblPr>
        <w:tblW w:w="5970" w:type="dxa"/>
        <w:tblInd w:w="2160" w:type="dxa"/>
        <w:tblLayout w:type="fixed"/>
        <w:tblCellMar>
          <w:left w:w="30" w:type="dxa"/>
          <w:right w:w="30" w:type="dxa"/>
        </w:tblCellMar>
        <w:tblLook w:val="0000" w:firstRow="0" w:lastRow="0" w:firstColumn="0" w:lastColumn="0" w:noHBand="0" w:noVBand="0"/>
      </w:tblPr>
      <w:tblGrid>
        <w:gridCol w:w="570"/>
        <w:gridCol w:w="1503"/>
        <w:gridCol w:w="537"/>
        <w:gridCol w:w="1299"/>
        <w:gridCol w:w="801"/>
        <w:gridCol w:w="1260"/>
      </w:tblGrid>
      <w:tr w:rsidR="00EC53BE" w:rsidRPr="00625200" w14:paraId="181B3626" w14:textId="77777777" w:rsidTr="31711DD5">
        <w:trPr>
          <w:cantSplit/>
        </w:trPr>
        <w:tc>
          <w:tcPr>
            <w:tcW w:w="2073" w:type="dxa"/>
            <w:gridSpan w:val="2"/>
          </w:tcPr>
          <w:p w14:paraId="7491E16A" w14:textId="77777777" w:rsidR="00EC53BE" w:rsidRPr="00625200" w:rsidRDefault="00EC53BE" w:rsidP="00D3700F">
            <w:pPr>
              <w:spacing w:after="40"/>
              <w:jc w:val="center"/>
              <w:rPr>
                <w:rFonts w:ascii="Arial" w:hAnsi="Arial" w:cs="Arial"/>
                <w:kern w:val="2"/>
                <w:sz w:val="18"/>
                <w:szCs w:val="18"/>
              </w:rPr>
            </w:pPr>
            <w:r w:rsidRPr="00625200">
              <w:rPr>
                <w:rFonts w:ascii="Arial" w:hAnsi="Arial" w:cs="Arial"/>
                <w:b/>
                <w:kern w:val="2"/>
                <w:sz w:val="18"/>
                <w:szCs w:val="18"/>
              </w:rPr>
              <w:t>Amount of Insurance</w:t>
            </w:r>
          </w:p>
        </w:tc>
        <w:tc>
          <w:tcPr>
            <w:tcW w:w="1836" w:type="dxa"/>
            <w:gridSpan w:val="2"/>
          </w:tcPr>
          <w:p w14:paraId="1B818830" w14:textId="77777777" w:rsidR="00EC53BE" w:rsidRPr="00625200" w:rsidRDefault="00EC53BE" w:rsidP="00D3700F">
            <w:pPr>
              <w:spacing w:after="40"/>
              <w:jc w:val="center"/>
              <w:rPr>
                <w:rFonts w:ascii="Arial" w:hAnsi="Arial" w:cs="Arial"/>
                <w:kern w:val="2"/>
                <w:sz w:val="18"/>
                <w:szCs w:val="18"/>
              </w:rPr>
            </w:pPr>
          </w:p>
        </w:tc>
        <w:tc>
          <w:tcPr>
            <w:tcW w:w="2061" w:type="dxa"/>
            <w:gridSpan w:val="2"/>
          </w:tcPr>
          <w:p w14:paraId="535251DC" w14:textId="77777777" w:rsidR="00EC53BE" w:rsidRPr="00625200" w:rsidRDefault="00EC53BE" w:rsidP="00D3700F">
            <w:pPr>
              <w:spacing w:after="40"/>
              <w:jc w:val="center"/>
              <w:rPr>
                <w:rFonts w:ascii="Arial" w:hAnsi="Arial" w:cs="Arial"/>
                <w:b/>
                <w:kern w:val="2"/>
                <w:sz w:val="18"/>
                <w:szCs w:val="18"/>
              </w:rPr>
            </w:pPr>
            <w:r w:rsidRPr="00625200">
              <w:rPr>
                <w:rFonts w:ascii="Arial" w:hAnsi="Arial" w:cs="Arial"/>
                <w:b/>
                <w:kern w:val="2"/>
                <w:sz w:val="18"/>
                <w:szCs w:val="18"/>
              </w:rPr>
              <w:t>Expedited Search Rate</w:t>
            </w:r>
          </w:p>
        </w:tc>
      </w:tr>
      <w:tr w:rsidR="0058510F" w:rsidRPr="00625200" w14:paraId="4CC09149" w14:textId="77777777" w:rsidTr="004E11CD">
        <w:tc>
          <w:tcPr>
            <w:tcW w:w="570" w:type="dxa"/>
          </w:tcPr>
          <w:p w14:paraId="66F8FF62" w14:textId="77777777" w:rsidR="0058510F" w:rsidRPr="00625200" w:rsidRDefault="0058510F" w:rsidP="00D3700F">
            <w:pPr>
              <w:spacing w:after="40"/>
              <w:jc w:val="left"/>
              <w:rPr>
                <w:rFonts w:ascii="Arial" w:hAnsi="Arial" w:cs="Arial"/>
                <w:kern w:val="2"/>
                <w:sz w:val="18"/>
                <w:szCs w:val="18"/>
              </w:rPr>
            </w:pPr>
            <w:r w:rsidRPr="00625200">
              <w:rPr>
                <w:rFonts w:ascii="Arial" w:hAnsi="Arial" w:cs="Arial"/>
                <w:kern w:val="2"/>
                <w:sz w:val="18"/>
                <w:szCs w:val="18"/>
              </w:rPr>
              <w:t>First</w:t>
            </w:r>
          </w:p>
        </w:tc>
        <w:tc>
          <w:tcPr>
            <w:tcW w:w="2040" w:type="dxa"/>
            <w:gridSpan w:val="2"/>
          </w:tcPr>
          <w:p w14:paraId="796A398D" w14:textId="6FC57B02" w:rsidR="0058510F" w:rsidRPr="00625200" w:rsidRDefault="00D241C8" w:rsidP="00D3700F">
            <w:pPr>
              <w:spacing w:after="40"/>
              <w:jc w:val="right"/>
              <w:rPr>
                <w:rFonts w:ascii="Arial" w:hAnsi="Arial" w:cs="Arial"/>
                <w:kern w:val="2"/>
                <w:sz w:val="18"/>
                <w:szCs w:val="18"/>
              </w:rPr>
            </w:pPr>
            <w:r>
              <w:rPr>
                <w:rFonts w:ascii="Arial" w:hAnsi="Arial" w:cs="Arial"/>
                <w:kern w:val="2"/>
                <w:sz w:val="18"/>
                <w:szCs w:val="18"/>
              </w:rPr>
              <w:t>$</w:t>
            </w:r>
            <w:r w:rsidR="1121CDE7">
              <w:rPr>
                <w:rFonts w:ascii="Arial" w:hAnsi="Arial" w:cs="Arial"/>
                <w:kern w:val="2"/>
                <w:sz w:val="18"/>
                <w:szCs w:val="18"/>
              </w:rPr>
              <w:t>350</w:t>
            </w:r>
            <w:r w:rsidR="086B38DD" w:rsidRPr="00625200">
              <w:rPr>
                <w:rFonts w:ascii="Arial" w:hAnsi="Arial" w:cs="Arial"/>
                <w:kern w:val="2"/>
                <w:sz w:val="18"/>
                <w:szCs w:val="18"/>
              </w:rPr>
              <w:t>,000</w:t>
            </w:r>
          </w:p>
        </w:tc>
        <w:tc>
          <w:tcPr>
            <w:tcW w:w="1299" w:type="dxa"/>
          </w:tcPr>
          <w:p w14:paraId="7B2EC616" w14:textId="77777777" w:rsidR="0058510F" w:rsidRPr="00625200" w:rsidRDefault="0058510F" w:rsidP="00D3700F">
            <w:pPr>
              <w:spacing w:after="40"/>
              <w:jc w:val="left"/>
              <w:rPr>
                <w:rFonts w:ascii="Arial" w:hAnsi="Arial" w:cs="Arial"/>
                <w:kern w:val="2"/>
                <w:sz w:val="18"/>
                <w:szCs w:val="18"/>
              </w:rPr>
            </w:pPr>
          </w:p>
        </w:tc>
        <w:tc>
          <w:tcPr>
            <w:tcW w:w="801" w:type="dxa"/>
          </w:tcPr>
          <w:p w14:paraId="4C724189" w14:textId="08345F84" w:rsidR="0058510F" w:rsidRPr="00625200" w:rsidRDefault="086B38DD" w:rsidP="00D32013">
            <w:pPr>
              <w:spacing w:after="40"/>
              <w:jc w:val="right"/>
              <w:rPr>
                <w:rFonts w:ascii="Arial" w:hAnsi="Arial" w:cs="Arial"/>
                <w:kern w:val="2"/>
                <w:sz w:val="18"/>
                <w:szCs w:val="18"/>
              </w:rPr>
            </w:pPr>
            <w:r w:rsidRPr="00625200">
              <w:rPr>
                <w:rFonts w:ascii="Arial" w:hAnsi="Arial" w:cs="Arial"/>
                <w:kern w:val="2"/>
                <w:sz w:val="18"/>
                <w:szCs w:val="18"/>
              </w:rPr>
              <w:t>$</w:t>
            </w:r>
            <w:r w:rsidR="52EBB15F" w:rsidRPr="00625200">
              <w:rPr>
                <w:rFonts w:ascii="Arial" w:hAnsi="Arial" w:cs="Arial"/>
                <w:kern w:val="2"/>
                <w:sz w:val="18"/>
                <w:szCs w:val="18"/>
              </w:rPr>
              <w:t>450</w:t>
            </w:r>
          </w:p>
        </w:tc>
        <w:tc>
          <w:tcPr>
            <w:tcW w:w="1260" w:type="dxa"/>
          </w:tcPr>
          <w:p w14:paraId="5649153C" w14:textId="77777777" w:rsidR="0058510F" w:rsidRPr="00625200" w:rsidRDefault="0058510F" w:rsidP="00D3700F">
            <w:pPr>
              <w:spacing w:after="40"/>
              <w:jc w:val="left"/>
              <w:rPr>
                <w:rFonts w:ascii="Arial" w:hAnsi="Arial" w:cs="Arial"/>
                <w:kern w:val="2"/>
                <w:sz w:val="18"/>
                <w:szCs w:val="18"/>
              </w:rPr>
            </w:pPr>
          </w:p>
        </w:tc>
      </w:tr>
      <w:tr w:rsidR="0058510F" w:rsidRPr="00625200" w14:paraId="4AFD330E" w14:textId="77777777" w:rsidTr="004E11CD">
        <w:tc>
          <w:tcPr>
            <w:tcW w:w="570" w:type="dxa"/>
          </w:tcPr>
          <w:p w14:paraId="12928C57" w14:textId="3398BDDA" w:rsidR="0058510F" w:rsidRPr="00625200" w:rsidRDefault="0058510F" w:rsidP="00D3700F">
            <w:pPr>
              <w:spacing w:after="40"/>
              <w:jc w:val="left"/>
              <w:rPr>
                <w:rFonts w:ascii="Arial" w:hAnsi="Arial" w:cs="Arial"/>
                <w:kern w:val="2"/>
                <w:sz w:val="18"/>
                <w:szCs w:val="18"/>
              </w:rPr>
            </w:pPr>
          </w:p>
        </w:tc>
        <w:tc>
          <w:tcPr>
            <w:tcW w:w="2040" w:type="dxa"/>
            <w:gridSpan w:val="2"/>
          </w:tcPr>
          <w:p w14:paraId="1B1EB1E3" w14:textId="75C0B196" w:rsidR="0058510F" w:rsidRPr="00625200" w:rsidRDefault="0010402E" w:rsidP="00D3700F">
            <w:pPr>
              <w:spacing w:after="40"/>
              <w:jc w:val="right"/>
              <w:rPr>
                <w:rFonts w:ascii="Arial" w:hAnsi="Arial" w:cs="Arial"/>
                <w:kern w:val="2"/>
                <w:sz w:val="18"/>
                <w:szCs w:val="18"/>
              </w:rPr>
            </w:pPr>
            <w:r>
              <w:rPr>
                <w:rFonts w:ascii="Arial" w:hAnsi="Arial" w:cs="Arial"/>
                <w:kern w:val="2"/>
                <w:sz w:val="18"/>
                <w:szCs w:val="18"/>
              </w:rPr>
              <w:t>$</w:t>
            </w:r>
            <w:r w:rsidR="1A3060CE">
              <w:rPr>
                <w:rFonts w:ascii="Arial" w:hAnsi="Arial" w:cs="Arial"/>
                <w:kern w:val="2"/>
                <w:sz w:val="18"/>
                <w:szCs w:val="18"/>
              </w:rPr>
              <w:t>351</w:t>
            </w:r>
            <w:r w:rsidR="086B38DD" w:rsidRPr="00625200">
              <w:rPr>
                <w:rFonts w:ascii="Arial" w:hAnsi="Arial" w:cs="Arial"/>
                <w:kern w:val="2"/>
                <w:sz w:val="18"/>
                <w:szCs w:val="18"/>
              </w:rPr>
              <w:t>,000</w:t>
            </w:r>
            <w:r w:rsidR="60F0DE1A" w:rsidRPr="00625200">
              <w:rPr>
                <w:rFonts w:ascii="Arial" w:hAnsi="Arial" w:cs="Arial"/>
                <w:kern w:val="2"/>
                <w:sz w:val="18"/>
                <w:szCs w:val="18"/>
              </w:rPr>
              <w:t xml:space="preserve"> to $1,000,000</w:t>
            </w:r>
          </w:p>
        </w:tc>
        <w:tc>
          <w:tcPr>
            <w:tcW w:w="1299" w:type="dxa"/>
          </w:tcPr>
          <w:p w14:paraId="039B017F" w14:textId="77777777" w:rsidR="0058510F" w:rsidRPr="00625200" w:rsidRDefault="0058510F" w:rsidP="00D3700F">
            <w:pPr>
              <w:spacing w:after="40"/>
              <w:jc w:val="right"/>
              <w:rPr>
                <w:rFonts w:ascii="Arial" w:hAnsi="Arial" w:cs="Arial"/>
                <w:kern w:val="2"/>
                <w:sz w:val="18"/>
                <w:szCs w:val="18"/>
              </w:rPr>
            </w:pPr>
            <w:r w:rsidRPr="00625200">
              <w:rPr>
                <w:rFonts w:ascii="Arial" w:hAnsi="Arial" w:cs="Arial"/>
                <w:kern w:val="2"/>
                <w:sz w:val="18"/>
                <w:szCs w:val="18"/>
              </w:rPr>
              <w:t>Add</w:t>
            </w:r>
          </w:p>
        </w:tc>
        <w:tc>
          <w:tcPr>
            <w:tcW w:w="801" w:type="dxa"/>
          </w:tcPr>
          <w:p w14:paraId="6C95292B" w14:textId="77777777" w:rsidR="0058510F" w:rsidRPr="00625200" w:rsidRDefault="0058510F" w:rsidP="00D3700F">
            <w:pPr>
              <w:spacing w:after="40"/>
              <w:jc w:val="right"/>
              <w:rPr>
                <w:rFonts w:ascii="Arial" w:hAnsi="Arial" w:cs="Arial"/>
                <w:kern w:val="2"/>
                <w:sz w:val="18"/>
                <w:szCs w:val="18"/>
              </w:rPr>
            </w:pPr>
            <w:r w:rsidRPr="00625200">
              <w:rPr>
                <w:rFonts w:ascii="Arial" w:hAnsi="Arial" w:cs="Arial"/>
                <w:kern w:val="2"/>
                <w:sz w:val="18"/>
                <w:szCs w:val="18"/>
              </w:rPr>
              <w:t>$1.00</w:t>
            </w:r>
          </w:p>
        </w:tc>
        <w:tc>
          <w:tcPr>
            <w:tcW w:w="1260" w:type="dxa"/>
          </w:tcPr>
          <w:p w14:paraId="31595421" w14:textId="77777777" w:rsidR="0058510F" w:rsidRPr="00625200" w:rsidRDefault="0058510F" w:rsidP="00D3700F">
            <w:pPr>
              <w:spacing w:after="40"/>
              <w:jc w:val="left"/>
              <w:rPr>
                <w:rFonts w:ascii="Arial" w:hAnsi="Arial" w:cs="Arial"/>
                <w:kern w:val="2"/>
                <w:sz w:val="18"/>
                <w:szCs w:val="18"/>
              </w:rPr>
            </w:pPr>
            <w:r w:rsidRPr="00625200">
              <w:rPr>
                <w:rFonts w:ascii="Arial" w:hAnsi="Arial" w:cs="Arial"/>
                <w:kern w:val="2"/>
                <w:sz w:val="18"/>
                <w:szCs w:val="18"/>
              </w:rPr>
              <w:t xml:space="preserve"> per thousand</w:t>
            </w:r>
          </w:p>
        </w:tc>
      </w:tr>
      <w:tr w:rsidR="001A4959" w:rsidRPr="00625200" w14:paraId="41F62964" w14:textId="77777777" w:rsidTr="004E11CD">
        <w:tc>
          <w:tcPr>
            <w:tcW w:w="570" w:type="dxa"/>
          </w:tcPr>
          <w:p w14:paraId="0E246DE1" w14:textId="77777777" w:rsidR="001A4959" w:rsidRPr="00625200" w:rsidRDefault="001A4959" w:rsidP="00D3700F">
            <w:pPr>
              <w:spacing w:after="40"/>
              <w:jc w:val="left"/>
              <w:rPr>
                <w:rFonts w:ascii="Arial" w:hAnsi="Arial" w:cs="Arial"/>
                <w:kern w:val="2"/>
                <w:sz w:val="18"/>
                <w:szCs w:val="18"/>
              </w:rPr>
            </w:pPr>
          </w:p>
        </w:tc>
        <w:tc>
          <w:tcPr>
            <w:tcW w:w="2040" w:type="dxa"/>
            <w:gridSpan w:val="2"/>
          </w:tcPr>
          <w:p w14:paraId="2697FD79" w14:textId="77777777" w:rsidR="001A4959" w:rsidRPr="00625200" w:rsidRDefault="001A4959" w:rsidP="00D3700F">
            <w:pPr>
              <w:spacing w:after="40"/>
              <w:jc w:val="right"/>
              <w:rPr>
                <w:rFonts w:ascii="Arial" w:hAnsi="Arial" w:cs="Arial"/>
                <w:kern w:val="2"/>
                <w:sz w:val="18"/>
                <w:szCs w:val="18"/>
              </w:rPr>
            </w:pPr>
          </w:p>
        </w:tc>
        <w:tc>
          <w:tcPr>
            <w:tcW w:w="1299" w:type="dxa"/>
          </w:tcPr>
          <w:p w14:paraId="2FE3CF4B" w14:textId="77777777" w:rsidR="001A4959" w:rsidRPr="00625200" w:rsidRDefault="001A4959" w:rsidP="00D3700F">
            <w:pPr>
              <w:spacing w:after="40"/>
              <w:jc w:val="right"/>
              <w:rPr>
                <w:rFonts w:ascii="Arial" w:hAnsi="Arial" w:cs="Arial"/>
                <w:kern w:val="2"/>
                <w:sz w:val="18"/>
                <w:szCs w:val="18"/>
              </w:rPr>
            </w:pPr>
          </w:p>
        </w:tc>
        <w:tc>
          <w:tcPr>
            <w:tcW w:w="801" w:type="dxa"/>
          </w:tcPr>
          <w:p w14:paraId="51943CE6" w14:textId="77777777" w:rsidR="001A4959" w:rsidRPr="00625200" w:rsidRDefault="001A4959" w:rsidP="00D3700F">
            <w:pPr>
              <w:spacing w:after="40"/>
              <w:jc w:val="right"/>
              <w:rPr>
                <w:rFonts w:ascii="Arial" w:hAnsi="Arial" w:cs="Arial"/>
                <w:kern w:val="2"/>
                <w:sz w:val="18"/>
                <w:szCs w:val="18"/>
              </w:rPr>
            </w:pPr>
          </w:p>
        </w:tc>
        <w:tc>
          <w:tcPr>
            <w:tcW w:w="1260" w:type="dxa"/>
          </w:tcPr>
          <w:p w14:paraId="3EF1166D" w14:textId="77777777" w:rsidR="001A4959" w:rsidRPr="00625200" w:rsidRDefault="001A4959" w:rsidP="00D3700F">
            <w:pPr>
              <w:spacing w:after="40"/>
              <w:jc w:val="left"/>
              <w:rPr>
                <w:rFonts w:ascii="Arial" w:hAnsi="Arial" w:cs="Arial"/>
                <w:kern w:val="2"/>
                <w:sz w:val="18"/>
                <w:szCs w:val="18"/>
              </w:rPr>
            </w:pPr>
          </w:p>
        </w:tc>
      </w:tr>
    </w:tbl>
    <w:p w14:paraId="6E9C7B59" w14:textId="19CEF89D" w:rsidR="0032556D" w:rsidRDefault="0032556D" w:rsidP="001A4959">
      <w:pPr>
        <w:pStyle w:val="Heading5"/>
        <w:numPr>
          <w:ilvl w:val="3"/>
          <w:numId w:val="0"/>
        </w:numPr>
        <w:ind w:left="2160"/>
      </w:pPr>
      <w:r>
        <w:t>An expedited search does not include a search of easements and restrictions. The Loan Policy must include a general exception as to the lack of coverage for easements and restrictions of record</w:t>
      </w:r>
      <w:r w:rsidR="0010402E">
        <w:t xml:space="preserve">. </w:t>
      </w:r>
      <w:r w:rsidR="5839EECA">
        <w:t>An Exp</w:t>
      </w:r>
      <w:r w:rsidR="58BE20EC">
        <w:t>edited R</w:t>
      </w:r>
      <w:r w:rsidR="5839EECA">
        <w:t>ate may not be issued on policies with an amount of liabil</w:t>
      </w:r>
      <w:r w:rsidR="2396974C">
        <w:t>i</w:t>
      </w:r>
      <w:r w:rsidR="5839EECA">
        <w:t>ty in excess of $1,000,000.</w:t>
      </w:r>
    </w:p>
    <w:p w14:paraId="0434E851" w14:textId="77777777" w:rsidR="0032556D" w:rsidRPr="0058510F" w:rsidRDefault="0032556D" w:rsidP="001A4959">
      <w:pPr>
        <w:pStyle w:val="Heading4"/>
        <w:keepNext/>
        <w:rPr>
          <w:b/>
        </w:rPr>
      </w:pPr>
      <w:r w:rsidRPr="0058510F">
        <w:rPr>
          <w:b/>
        </w:rPr>
        <w:t>Full Searches</w:t>
      </w:r>
    </w:p>
    <w:p w14:paraId="7CC11CF3" w14:textId="77777777" w:rsidR="000C0210" w:rsidRDefault="000C0210" w:rsidP="001A4959">
      <w:pPr>
        <w:pStyle w:val="Heading5"/>
        <w:numPr>
          <w:ilvl w:val="0"/>
          <w:numId w:val="0"/>
        </w:numPr>
        <w:ind w:left="2160"/>
      </w:pPr>
      <w:r>
        <w:t>A Residential Refinance Loan Policy Rate (full search) is available for residential refinances of an existing mortgage debt with the same or different lender, a residential junior mortgage, or for a mortgage on a lien-free residential property. The premium shall be charged at the following rate where a full search is completed:</w:t>
      </w:r>
    </w:p>
    <w:tbl>
      <w:tblPr>
        <w:tblW w:w="6093" w:type="dxa"/>
        <w:tblInd w:w="2160" w:type="dxa"/>
        <w:tblLayout w:type="fixed"/>
        <w:tblCellMar>
          <w:left w:w="30" w:type="dxa"/>
          <w:right w:w="30" w:type="dxa"/>
        </w:tblCellMar>
        <w:tblLook w:val="0000" w:firstRow="0" w:lastRow="0" w:firstColumn="0" w:lastColumn="0" w:noHBand="0" w:noVBand="0"/>
      </w:tblPr>
      <w:tblGrid>
        <w:gridCol w:w="570"/>
        <w:gridCol w:w="1503"/>
        <w:gridCol w:w="231"/>
        <w:gridCol w:w="1605"/>
        <w:gridCol w:w="801"/>
        <w:gridCol w:w="1383"/>
      </w:tblGrid>
      <w:tr w:rsidR="00567AC1" w:rsidRPr="00625200" w14:paraId="79779AB1" w14:textId="77777777" w:rsidTr="31711DD5">
        <w:trPr>
          <w:cantSplit/>
        </w:trPr>
        <w:tc>
          <w:tcPr>
            <w:tcW w:w="2073" w:type="dxa"/>
            <w:gridSpan w:val="2"/>
          </w:tcPr>
          <w:p w14:paraId="178098F4" w14:textId="77777777" w:rsidR="00567AC1" w:rsidRPr="00625200" w:rsidRDefault="00567AC1" w:rsidP="00D3700F">
            <w:pPr>
              <w:spacing w:after="40"/>
              <w:jc w:val="center"/>
              <w:rPr>
                <w:rFonts w:ascii="Arial" w:hAnsi="Arial" w:cs="Arial"/>
                <w:kern w:val="2"/>
                <w:sz w:val="18"/>
                <w:szCs w:val="18"/>
              </w:rPr>
            </w:pPr>
            <w:r w:rsidRPr="00625200">
              <w:rPr>
                <w:rFonts w:ascii="Arial" w:hAnsi="Arial" w:cs="Arial"/>
                <w:b/>
                <w:kern w:val="2"/>
                <w:sz w:val="18"/>
                <w:szCs w:val="18"/>
              </w:rPr>
              <w:t>Amount of Insurance</w:t>
            </w:r>
          </w:p>
        </w:tc>
        <w:tc>
          <w:tcPr>
            <w:tcW w:w="1836" w:type="dxa"/>
            <w:gridSpan w:val="2"/>
          </w:tcPr>
          <w:p w14:paraId="3B789A17" w14:textId="77777777" w:rsidR="00567AC1" w:rsidRPr="00625200" w:rsidRDefault="00567AC1" w:rsidP="00D3700F">
            <w:pPr>
              <w:spacing w:after="40"/>
              <w:jc w:val="center"/>
              <w:rPr>
                <w:rFonts w:ascii="Arial" w:hAnsi="Arial" w:cs="Arial"/>
                <w:kern w:val="2"/>
                <w:sz w:val="18"/>
                <w:szCs w:val="18"/>
              </w:rPr>
            </w:pPr>
          </w:p>
        </w:tc>
        <w:tc>
          <w:tcPr>
            <w:tcW w:w="2184" w:type="dxa"/>
            <w:gridSpan w:val="2"/>
          </w:tcPr>
          <w:p w14:paraId="1CBC28D8" w14:textId="77777777" w:rsidR="00567AC1" w:rsidRPr="00625200" w:rsidRDefault="000C0210" w:rsidP="00D3700F">
            <w:pPr>
              <w:spacing w:after="40"/>
              <w:jc w:val="center"/>
              <w:rPr>
                <w:rFonts w:ascii="Arial" w:hAnsi="Arial" w:cs="Arial"/>
                <w:b/>
                <w:kern w:val="2"/>
                <w:sz w:val="18"/>
                <w:szCs w:val="18"/>
              </w:rPr>
            </w:pPr>
            <w:r w:rsidRPr="00625200">
              <w:rPr>
                <w:rFonts w:ascii="Arial" w:hAnsi="Arial" w:cs="Arial"/>
                <w:b/>
                <w:kern w:val="2"/>
                <w:sz w:val="18"/>
                <w:szCs w:val="18"/>
              </w:rPr>
              <w:t>F</w:t>
            </w:r>
            <w:r w:rsidR="0095582E" w:rsidRPr="00625200">
              <w:rPr>
                <w:rFonts w:ascii="Arial" w:hAnsi="Arial" w:cs="Arial"/>
                <w:b/>
                <w:kern w:val="2"/>
                <w:sz w:val="18"/>
                <w:szCs w:val="18"/>
              </w:rPr>
              <w:t>ull</w:t>
            </w:r>
            <w:r w:rsidR="00567AC1" w:rsidRPr="00625200">
              <w:rPr>
                <w:rFonts w:ascii="Arial" w:hAnsi="Arial" w:cs="Arial"/>
                <w:b/>
                <w:kern w:val="2"/>
                <w:sz w:val="18"/>
                <w:szCs w:val="18"/>
              </w:rPr>
              <w:t xml:space="preserve"> Search Rate</w:t>
            </w:r>
            <w:r w:rsidR="0095582E" w:rsidRPr="00625200">
              <w:rPr>
                <w:rFonts w:ascii="Arial" w:hAnsi="Arial" w:cs="Arial"/>
                <w:b/>
                <w:kern w:val="2"/>
                <w:sz w:val="18"/>
                <w:szCs w:val="18"/>
              </w:rPr>
              <w:t xml:space="preserve"> Range</w:t>
            </w:r>
          </w:p>
        </w:tc>
      </w:tr>
      <w:tr w:rsidR="00567AC1" w:rsidRPr="00625200" w14:paraId="5A6B8E20" w14:textId="77777777" w:rsidTr="0010402E">
        <w:tc>
          <w:tcPr>
            <w:tcW w:w="570" w:type="dxa"/>
          </w:tcPr>
          <w:p w14:paraId="7C76694A" w14:textId="77777777" w:rsidR="00567AC1" w:rsidRPr="00625200" w:rsidRDefault="00567AC1" w:rsidP="00D3700F">
            <w:pPr>
              <w:spacing w:after="40"/>
              <w:jc w:val="left"/>
              <w:rPr>
                <w:rFonts w:ascii="Arial" w:hAnsi="Arial" w:cs="Arial"/>
                <w:kern w:val="2"/>
                <w:sz w:val="18"/>
                <w:szCs w:val="18"/>
              </w:rPr>
            </w:pPr>
            <w:r w:rsidRPr="00625200">
              <w:rPr>
                <w:rFonts w:ascii="Arial" w:hAnsi="Arial" w:cs="Arial"/>
                <w:kern w:val="2"/>
                <w:sz w:val="18"/>
                <w:szCs w:val="18"/>
              </w:rPr>
              <w:t>First</w:t>
            </w:r>
          </w:p>
        </w:tc>
        <w:tc>
          <w:tcPr>
            <w:tcW w:w="1734" w:type="dxa"/>
            <w:gridSpan w:val="2"/>
          </w:tcPr>
          <w:p w14:paraId="65B238C9" w14:textId="77777777" w:rsidR="00567AC1" w:rsidRPr="00625200" w:rsidRDefault="00567AC1" w:rsidP="00D3700F">
            <w:pPr>
              <w:spacing w:after="40"/>
              <w:jc w:val="right"/>
              <w:rPr>
                <w:rFonts w:ascii="Arial" w:hAnsi="Arial" w:cs="Arial"/>
                <w:kern w:val="2"/>
                <w:sz w:val="18"/>
                <w:szCs w:val="18"/>
              </w:rPr>
            </w:pPr>
            <w:r w:rsidRPr="00625200">
              <w:rPr>
                <w:rFonts w:ascii="Arial" w:hAnsi="Arial" w:cs="Arial"/>
                <w:kern w:val="2"/>
                <w:sz w:val="18"/>
                <w:szCs w:val="18"/>
              </w:rPr>
              <w:t>$350,000</w:t>
            </w:r>
          </w:p>
        </w:tc>
        <w:tc>
          <w:tcPr>
            <w:tcW w:w="1605" w:type="dxa"/>
          </w:tcPr>
          <w:p w14:paraId="01396F6F" w14:textId="77777777" w:rsidR="00567AC1" w:rsidRPr="00625200" w:rsidRDefault="00567AC1" w:rsidP="00D3700F">
            <w:pPr>
              <w:spacing w:after="40"/>
              <w:jc w:val="left"/>
              <w:rPr>
                <w:rFonts w:ascii="Arial" w:hAnsi="Arial" w:cs="Arial"/>
                <w:kern w:val="2"/>
                <w:sz w:val="18"/>
                <w:szCs w:val="18"/>
              </w:rPr>
            </w:pPr>
          </w:p>
        </w:tc>
        <w:tc>
          <w:tcPr>
            <w:tcW w:w="801" w:type="dxa"/>
          </w:tcPr>
          <w:p w14:paraId="1374A4D5" w14:textId="63969EBF" w:rsidR="00567AC1" w:rsidRPr="00625200" w:rsidRDefault="00567AC1" w:rsidP="00D3700F">
            <w:pPr>
              <w:spacing w:after="40"/>
              <w:jc w:val="right"/>
              <w:rPr>
                <w:rFonts w:ascii="Arial" w:hAnsi="Arial" w:cs="Arial"/>
                <w:kern w:val="2"/>
                <w:sz w:val="18"/>
                <w:szCs w:val="18"/>
              </w:rPr>
            </w:pPr>
            <w:r w:rsidRPr="00625200">
              <w:rPr>
                <w:rFonts w:ascii="Arial" w:hAnsi="Arial" w:cs="Arial"/>
                <w:kern w:val="2"/>
                <w:sz w:val="18"/>
                <w:szCs w:val="18"/>
              </w:rPr>
              <w:t>$</w:t>
            </w:r>
            <w:r w:rsidR="00D226DF">
              <w:rPr>
                <w:rFonts w:ascii="Arial" w:hAnsi="Arial" w:cs="Arial"/>
                <w:kern w:val="2"/>
                <w:sz w:val="18"/>
                <w:szCs w:val="18"/>
              </w:rPr>
              <w:t>525</w:t>
            </w:r>
            <w:r w:rsidRPr="00625200">
              <w:rPr>
                <w:rFonts w:ascii="Arial" w:hAnsi="Arial" w:cs="Arial"/>
                <w:kern w:val="2"/>
                <w:sz w:val="18"/>
                <w:szCs w:val="18"/>
              </w:rPr>
              <w:t>.00</w:t>
            </w:r>
          </w:p>
        </w:tc>
        <w:tc>
          <w:tcPr>
            <w:tcW w:w="1383" w:type="dxa"/>
          </w:tcPr>
          <w:p w14:paraId="7CE438FF" w14:textId="77777777" w:rsidR="00567AC1" w:rsidRPr="00625200" w:rsidRDefault="00567AC1" w:rsidP="00D3700F">
            <w:pPr>
              <w:spacing w:after="40"/>
              <w:jc w:val="left"/>
              <w:rPr>
                <w:rFonts w:ascii="Arial" w:hAnsi="Arial" w:cs="Arial"/>
                <w:kern w:val="2"/>
                <w:sz w:val="18"/>
                <w:szCs w:val="18"/>
              </w:rPr>
            </w:pPr>
          </w:p>
        </w:tc>
      </w:tr>
      <w:tr w:rsidR="00567AC1" w:rsidRPr="00625200" w14:paraId="079C4BA3" w14:textId="77777777" w:rsidTr="0010402E">
        <w:tc>
          <w:tcPr>
            <w:tcW w:w="570" w:type="dxa"/>
          </w:tcPr>
          <w:p w14:paraId="6B38510B" w14:textId="7DF1838F" w:rsidR="00567AC1" w:rsidRPr="00625200" w:rsidRDefault="00567AC1" w:rsidP="00D3700F">
            <w:pPr>
              <w:spacing w:after="40"/>
              <w:jc w:val="left"/>
              <w:rPr>
                <w:rFonts w:ascii="Arial" w:hAnsi="Arial" w:cs="Arial"/>
                <w:kern w:val="2"/>
                <w:sz w:val="18"/>
                <w:szCs w:val="18"/>
              </w:rPr>
            </w:pPr>
          </w:p>
        </w:tc>
        <w:tc>
          <w:tcPr>
            <w:tcW w:w="1734" w:type="dxa"/>
            <w:gridSpan w:val="2"/>
          </w:tcPr>
          <w:p w14:paraId="6A89F0A7" w14:textId="5D063757" w:rsidR="00567AC1" w:rsidRPr="00625200" w:rsidRDefault="00567AC1" w:rsidP="00D3700F">
            <w:pPr>
              <w:spacing w:after="40"/>
              <w:jc w:val="right"/>
              <w:rPr>
                <w:rFonts w:ascii="Arial" w:hAnsi="Arial" w:cs="Arial"/>
                <w:kern w:val="2"/>
                <w:sz w:val="18"/>
                <w:szCs w:val="18"/>
              </w:rPr>
            </w:pPr>
            <w:r w:rsidRPr="00625200">
              <w:rPr>
                <w:rFonts w:ascii="Arial" w:hAnsi="Arial" w:cs="Arial"/>
                <w:kern w:val="2"/>
                <w:sz w:val="18"/>
                <w:szCs w:val="18"/>
              </w:rPr>
              <w:t>$350,00</w:t>
            </w:r>
            <w:r w:rsidR="785A07FF" w:rsidRPr="00625200">
              <w:rPr>
                <w:rFonts w:ascii="Arial" w:hAnsi="Arial" w:cs="Arial"/>
                <w:kern w:val="2"/>
                <w:sz w:val="18"/>
                <w:szCs w:val="18"/>
              </w:rPr>
              <w:t>1</w:t>
            </w:r>
            <w:r w:rsidR="244F5C27" w:rsidRPr="00625200">
              <w:rPr>
                <w:rFonts w:ascii="Arial" w:hAnsi="Arial" w:cs="Arial"/>
                <w:kern w:val="2"/>
                <w:sz w:val="18"/>
                <w:szCs w:val="18"/>
              </w:rPr>
              <w:t xml:space="preserve"> and above</w:t>
            </w:r>
          </w:p>
        </w:tc>
        <w:tc>
          <w:tcPr>
            <w:tcW w:w="1605" w:type="dxa"/>
          </w:tcPr>
          <w:p w14:paraId="48E238F8" w14:textId="77777777" w:rsidR="00567AC1" w:rsidRPr="00625200" w:rsidRDefault="00567AC1" w:rsidP="00D3700F">
            <w:pPr>
              <w:spacing w:after="40"/>
              <w:jc w:val="right"/>
              <w:rPr>
                <w:rFonts w:ascii="Arial" w:hAnsi="Arial" w:cs="Arial"/>
                <w:kern w:val="2"/>
                <w:sz w:val="18"/>
                <w:szCs w:val="18"/>
              </w:rPr>
            </w:pPr>
            <w:r w:rsidRPr="00625200">
              <w:rPr>
                <w:rFonts w:ascii="Arial" w:hAnsi="Arial" w:cs="Arial"/>
                <w:kern w:val="2"/>
                <w:sz w:val="18"/>
                <w:szCs w:val="18"/>
              </w:rPr>
              <w:t>Add</w:t>
            </w:r>
          </w:p>
        </w:tc>
        <w:tc>
          <w:tcPr>
            <w:tcW w:w="801" w:type="dxa"/>
          </w:tcPr>
          <w:p w14:paraId="29B05710" w14:textId="77777777" w:rsidR="00567AC1" w:rsidRPr="00625200" w:rsidRDefault="00567AC1" w:rsidP="00D3700F">
            <w:pPr>
              <w:spacing w:after="40"/>
              <w:jc w:val="right"/>
              <w:rPr>
                <w:rFonts w:ascii="Arial" w:hAnsi="Arial" w:cs="Arial"/>
                <w:kern w:val="2"/>
                <w:sz w:val="18"/>
                <w:szCs w:val="18"/>
              </w:rPr>
            </w:pPr>
            <w:r w:rsidRPr="00625200">
              <w:rPr>
                <w:rFonts w:ascii="Arial" w:hAnsi="Arial" w:cs="Arial"/>
                <w:kern w:val="2"/>
                <w:sz w:val="18"/>
                <w:szCs w:val="18"/>
              </w:rPr>
              <w:t>$1.00</w:t>
            </w:r>
          </w:p>
        </w:tc>
        <w:tc>
          <w:tcPr>
            <w:tcW w:w="1383" w:type="dxa"/>
          </w:tcPr>
          <w:p w14:paraId="6D08D9E6" w14:textId="77777777" w:rsidR="00567AC1" w:rsidRPr="00625200" w:rsidRDefault="00567AC1" w:rsidP="00D3700F">
            <w:pPr>
              <w:spacing w:after="40"/>
              <w:jc w:val="left"/>
              <w:rPr>
                <w:rFonts w:ascii="Arial" w:hAnsi="Arial" w:cs="Arial"/>
                <w:kern w:val="2"/>
                <w:sz w:val="18"/>
                <w:szCs w:val="18"/>
              </w:rPr>
            </w:pPr>
            <w:r w:rsidRPr="00625200">
              <w:rPr>
                <w:rFonts w:ascii="Arial" w:hAnsi="Arial" w:cs="Arial"/>
                <w:kern w:val="2"/>
                <w:sz w:val="18"/>
                <w:szCs w:val="18"/>
              </w:rPr>
              <w:t xml:space="preserve"> per thousand</w:t>
            </w:r>
          </w:p>
        </w:tc>
      </w:tr>
      <w:tr w:rsidR="001A4959" w:rsidRPr="00625200" w14:paraId="357F77A0" w14:textId="77777777" w:rsidTr="31711DD5">
        <w:tc>
          <w:tcPr>
            <w:tcW w:w="570" w:type="dxa"/>
          </w:tcPr>
          <w:p w14:paraId="25D47A18" w14:textId="77777777" w:rsidR="001A4959" w:rsidRPr="00625200" w:rsidRDefault="001A4959" w:rsidP="00D3700F">
            <w:pPr>
              <w:spacing w:after="40"/>
              <w:jc w:val="left"/>
              <w:rPr>
                <w:rFonts w:ascii="Arial" w:hAnsi="Arial" w:cs="Arial"/>
                <w:kern w:val="2"/>
                <w:sz w:val="18"/>
                <w:szCs w:val="18"/>
              </w:rPr>
            </w:pPr>
          </w:p>
        </w:tc>
        <w:tc>
          <w:tcPr>
            <w:tcW w:w="1503" w:type="dxa"/>
          </w:tcPr>
          <w:p w14:paraId="635CA17D" w14:textId="77777777" w:rsidR="001A4959" w:rsidRPr="00625200" w:rsidRDefault="001A4959" w:rsidP="00D3700F">
            <w:pPr>
              <w:spacing w:after="40"/>
              <w:jc w:val="right"/>
              <w:rPr>
                <w:rFonts w:ascii="Arial" w:hAnsi="Arial" w:cs="Arial"/>
                <w:kern w:val="2"/>
                <w:sz w:val="18"/>
                <w:szCs w:val="18"/>
              </w:rPr>
            </w:pPr>
          </w:p>
        </w:tc>
        <w:tc>
          <w:tcPr>
            <w:tcW w:w="1836" w:type="dxa"/>
            <w:gridSpan w:val="2"/>
          </w:tcPr>
          <w:p w14:paraId="73AC3025" w14:textId="77777777" w:rsidR="001A4959" w:rsidRPr="00625200" w:rsidRDefault="001A4959" w:rsidP="00D3700F">
            <w:pPr>
              <w:spacing w:after="40"/>
              <w:jc w:val="right"/>
              <w:rPr>
                <w:rFonts w:ascii="Arial" w:hAnsi="Arial" w:cs="Arial"/>
                <w:kern w:val="2"/>
                <w:sz w:val="18"/>
                <w:szCs w:val="18"/>
              </w:rPr>
            </w:pPr>
          </w:p>
        </w:tc>
        <w:tc>
          <w:tcPr>
            <w:tcW w:w="801" w:type="dxa"/>
          </w:tcPr>
          <w:p w14:paraId="2FBFDF52" w14:textId="77777777" w:rsidR="001A4959" w:rsidRPr="00625200" w:rsidRDefault="001A4959" w:rsidP="00D3700F">
            <w:pPr>
              <w:spacing w:after="40"/>
              <w:jc w:val="right"/>
              <w:rPr>
                <w:rFonts w:ascii="Arial" w:hAnsi="Arial" w:cs="Arial"/>
                <w:kern w:val="2"/>
                <w:sz w:val="18"/>
                <w:szCs w:val="18"/>
              </w:rPr>
            </w:pPr>
          </w:p>
        </w:tc>
        <w:tc>
          <w:tcPr>
            <w:tcW w:w="1383" w:type="dxa"/>
          </w:tcPr>
          <w:p w14:paraId="6EE72B92" w14:textId="77777777" w:rsidR="001A4959" w:rsidRPr="00625200" w:rsidRDefault="001A4959" w:rsidP="00D3700F">
            <w:pPr>
              <w:spacing w:after="40"/>
              <w:jc w:val="left"/>
              <w:rPr>
                <w:rFonts w:ascii="Arial" w:hAnsi="Arial" w:cs="Arial"/>
                <w:kern w:val="2"/>
                <w:sz w:val="18"/>
                <w:szCs w:val="18"/>
              </w:rPr>
            </w:pPr>
          </w:p>
        </w:tc>
      </w:tr>
    </w:tbl>
    <w:p w14:paraId="120E6217" w14:textId="77777777" w:rsidR="0032556D" w:rsidRDefault="0032556D" w:rsidP="001A4959">
      <w:pPr>
        <w:pStyle w:val="Heading5"/>
        <w:numPr>
          <w:ilvl w:val="0"/>
          <w:numId w:val="0"/>
        </w:numPr>
        <w:ind w:left="2160"/>
      </w:pPr>
      <w:r>
        <w:t>A full search includes a search of easements and restrictions of record and</w:t>
      </w:r>
      <w:r w:rsidR="00567AC1">
        <w:t xml:space="preserve"> must be</w:t>
      </w:r>
      <w:r>
        <w:t xml:space="preserve"> raised in Schedule B-II as an exception, unless insured over. </w:t>
      </w:r>
    </w:p>
    <w:p w14:paraId="4CD5D6D5" w14:textId="77777777" w:rsidR="000C0210" w:rsidRPr="004E11CD" w:rsidRDefault="0032556D" w:rsidP="001A4959">
      <w:pPr>
        <w:pStyle w:val="Heading5"/>
        <w:numPr>
          <w:ilvl w:val="0"/>
          <w:numId w:val="0"/>
        </w:numPr>
        <w:ind w:left="2160"/>
        <w:rPr>
          <w:rFonts w:cs="Arial"/>
          <w:szCs w:val="18"/>
        </w:rPr>
      </w:pPr>
      <w:r>
        <w:t xml:space="preserve">The Reissue Rate </w:t>
      </w:r>
      <w:r w:rsidRPr="004E11CD">
        <w:rPr>
          <w:rFonts w:cs="Arial"/>
          <w:szCs w:val="18"/>
        </w:rPr>
        <w:t xml:space="preserve">is </w:t>
      </w:r>
      <w:r w:rsidR="008D545D" w:rsidRPr="004E11CD">
        <w:rPr>
          <w:rFonts w:cs="Arial"/>
          <w:szCs w:val="18"/>
        </w:rPr>
        <w:t xml:space="preserve">not available </w:t>
      </w:r>
      <w:r w:rsidRPr="004E11CD">
        <w:rPr>
          <w:rFonts w:cs="Arial"/>
          <w:szCs w:val="18"/>
        </w:rPr>
        <w:t xml:space="preserve">for a Residential Refinance Loan Policy on expedited and full searches. </w:t>
      </w:r>
    </w:p>
    <w:p w14:paraId="429F9859" w14:textId="77777777" w:rsidR="000C0210" w:rsidRPr="004E11CD" w:rsidRDefault="000C0210" w:rsidP="001A4959">
      <w:pPr>
        <w:pStyle w:val="Heading5"/>
        <w:numPr>
          <w:ilvl w:val="0"/>
          <w:numId w:val="0"/>
        </w:numPr>
        <w:ind w:left="2160"/>
        <w:rPr>
          <w:rFonts w:cs="Arial"/>
          <w:szCs w:val="18"/>
        </w:rPr>
      </w:pPr>
      <w:r w:rsidRPr="004E11CD">
        <w:rPr>
          <w:rFonts w:cs="Arial"/>
          <w:szCs w:val="18"/>
        </w:rPr>
        <w:t>The Residential Refinance Loan Policy Rate is not available for the following residential Loan Policies:</w:t>
      </w:r>
    </w:p>
    <w:p w14:paraId="7FA4688B" w14:textId="77777777" w:rsidR="000C0210" w:rsidRPr="004E11CD" w:rsidRDefault="000C0210" w:rsidP="00D226DF">
      <w:pPr>
        <w:pStyle w:val="Heading4"/>
        <w:numPr>
          <w:ilvl w:val="0"/>
          <w:numId w:val="8"/>
        </w:numPr>
        <w:ind w:left="2880" w:hanging="720"/>
        <w:rPr>
          <w:rFonts w:cs="Arial"/>
          <w:szCs w:val="18"/>
        </w:rPr>
      </w:pPr>
      <w:r w:rsidRPr="004E11CD">
        <w:rPr>
          <w:rFonts w:cs="Arial"/>
          <w:szCs w:val="18"/>
        </w:rPr>
        <w:t>Residential Construction Loan Policy Rate (Section II, paragraph D)</w:t>
      </w:r>
    </w:p>
    <w:p w14:paraId="614B9102" w14:textId="77777777" w:rsidR="000C0210" w:rsidRPr="004E11CD" w:rsidRDefault="000C0210" w:rsidP="00D226DF">
      <w:pPr>
        <w:pStyle w:val="Heading4"/>
        <w:numPr>
          <w:ilvl w:val="0"/>
          <w:numId w:val="8"/>
        </w:numPr>
        <w:ind w:left="2880" w:hanging="720"/>
        <w:rPr>
          <w:rFonts w:cs="Arial"/>
          <w:szCs w:val="18"/>
        </w:rPr>
      </w:pPr>
      <w:r w:rsidRPr="004E11CD">
        <w:rPr>
          <w:rFonts w:cs="Arial"/>
          <w:szCs w:val="18"/>
        </w:rPr>
        <w:t>Residential New Construction Refinance Rate (Section II, paragraph E)</w:t>
      </w:r>
    </w:p>
    <w:p w14:paraId="2B06E4F3" w14:textId="2B0FFC9F" w:rsidR="000C0210" w:rsidRPr="004E11CD" w:rsidRDefault="000C0210" w:rsidP="00D226DF">
      <w:pPr>
        <w:pStyle w:val="Heading4"/>
        <w:numPr>
          <w:ilvl w:val="0"/>
          <w:numId w:val="8"/>
        </w:numPr>
        <w:ind w:left="2880" w:hanging="720"/>
        <w:rPr>
          <w:rFonts w:cs="Arial"/>
          <w:szCs w:val="18"/>
        </w:rPr>
      </w:pPr>
      <w:r w:rsidRPr="004E11CD">
        <w:rPr>
          <w:rFonts w:cs="Arial"/>
          <w:szCs w:val="18"/>
        </w:rPr>
        <w:t xml:space="preserve">Simultaneous Rate (Section II, paragraph </w:t>
      </w:r>
      <w:r w:rsidR="00D226DF" w:rsidRPr="004E11CD">
        <w:rPr>
          <w:rFonts w:cs="Arial"/>
          <w:szCs w:val="18"/>
        </w:rPr>
        <w:t>G</w:t>
      </w:r>
      <w:r w:rsidRPr="004E11CD">
        <w:rPr>
          <w:rFonts w:cs="Arial"/>
          <w:szCs w:val="18"/>
        </w:rPr>
        <w:t>)</w:t>
      </w:r>
    </w:p>
    <w:p w14:paraId="428A1558" w14:textId="0873097E" w:rsidR="000C0210" w:rsidRPr="004E11CD" w:rsidRDefault="000C0210" w:rsidP="00D226DF">
      <w:pPr>
        <w:pStyle w:val="Heading4"/>
        <w:numPr>
          <w:ilvl w:val="0"/>
          <w:numId w:val="8"/>
        </w:numPr>
        <w:ind w:left="2880" w:hanging="720"/>
        <w:rPr>
          <w:rFonts w:cs="Arial"/>
          <w:szCs w:val="18"/>
        </w:rPr>
      </w:pPr>
      <w:r w:rsidRPr="004E11CD">
        <w:rPr>
          <w:rFonts w:cs="Arial"/>
          <w:szCs w:val="18"/>
        </w:rPr>
        <w:t xml:space="preserve">Bifurcated Owner’s and Loan Policy Rate (Section II, paragraph </w:t>
      </w:r>
      <w:r w:rsidR="00D226DF" w:rsidRPr="004E11CD">
        <w:rPr>
          <w:rFonts w:cs="Arial"/>
          <w:szCs w:val="18"/>
        </w:rPr>
        <w:t>H</w:t>
      </w:r>
      <w:r w:rsidR="003904DA" w:rsidRPr="004E11CD">
        <w:rPr>
          <w:rFonts w:cs="Arial"/>
          <w:szCs w:val="18"/>
        </w:rPr>
        <w:t>)</w:t>
      </w:r>
    </w:p>
    <w:p w14:paraId="4F6CC164" w14:textId="3B5A9DB6" w:rsidR="5820BD28" w:rsidRPr="004E11CD" w:rsidRDefault="529C6BE6" w:rsidP="3085C6B5">
      <w:pPr>
        <w:numPr>
          <w:ilvl w:val="0"/>
          <w:numId w:val="8"/>
        </w:numPr>
        <w:ind w:left="2880" w:hanging="720"/>
        <w:rPr>
          <w:rFonts w:ascii="Arial" w:hAnsi="Arial" w:cs="Arial"/>
          <w:sz w:val="18"/>
          <w:szCs w:val="18"/>
        </w:rPr>
      </w:pPr>
      <w:r w:rsidRPr="004E11CD">
        <w:rPr>
          <w:rFonts w:ascii="Arial" w:hAnsi="Arial" w:cs="Arial"/>
          <w:sz w:val="18"/>
          <w:szCs w:val="18"/>
        </w:rPr>
        <w:t>Purchase Money Mortgage</w:t>
      </w:r>
      <w:r w:rsidR="006A7BC2">
        <w:rPr>
          <w:rFonts w:ascii="Arial" w:hAnsi="Arial" w:cs="Arial"/>
          <w:sz w:val="18"/>
          <w:szCs w:val="18"/>
        </w:rPr>
        <w:t xml:space="preserve"> (Section I, paragraph A-14)</w:t>
      </w:r>
    </w:p>
    <w:p w14:paraId="19576AB1" w14:textId="20DBAD87" w:rsidR="4B93C55E" w:rsidRPr="004E11CD" w:rsidRDefault="000C0210" w:rsidP="5820BD28">
      <w:pPr>
        <w:pStyle w:val="Heading4"/>
        <w:numPr>
          <w:ilvl w:val="0"/>
          <w:numId w:val="8"/>
        </w:numPr>
        <w:ind w:left="2880" w:hanging="720"/>
        <w:rPr>
          <w:rFonts w:cs="Arial"/>
          <w:szCs w:val="18"/>
        </w:rPr>
      </w:pPr>
      <w:r w:rsidRPr="004E11CD">
        <w:rPr>
          <w:rFonts w:cs="Arial"/>
          <w:szCs w:val="18"/>
        </w:rPr>
        <w:t>ALTA Residential Limited Coverage Junior Loan Policy Rate (Section II, paragraph I)</w:t>
      </w:r>
    </w:p>
    <w:p w14:paraId="2C44547A" w14:textId="77777777" w:rsidR="00957EF9" w:rsidRPr="004E11CD" w:rsidRDefault="00957EF9" w:rsidP="5820BD28">
      <w:pPr>
        <w:numPr>
          <w:ilvl w:val="1"/>
          <w:numId w:val="1"/>
        </w:numPr>
        <w:rPr>
          <w:rFonts w:ascii="Arial" w:hAnsi="Arial" w:cs="Arial"/>
          <w:b/>
          <w:bCs/>
          <w:sz w:val="18"/>
          <w:szCs w:val="18"/>
        </w:rPr>
      </w:pPr>
      <w:bookmarkStart w:id="18" w:name="_Toc30012884"/>
      <w:r w:rsidRPr="004E11CD">
        <w:rPr>
          <w:rFonts w:ascii="Arial" w:hAnsi="Arial" w:cs="Arial"/>
          <w:b/>
          <w:bCs/>
          <w:sz w:val="18"/>
          <w:szCs w:val="18"/>
        </w:rPr>
        <w:t>Residential Construction Loan Policy Rate</w:t>
      </w:r>
      <w:bookmarkEnd w:id="18"/>
    </w:p>
    <w:p w14:paraId="54698CAF" w14:textId="4F0577C5" w:rsidR="00957EF9" w:rsidRPr="004E11CD" w:rsidRDefault="00957EF9" w:rsidP="001A4959">
      <w:pPr>
        <w:pStyle w:val="Heading4"/>
        <w:numPr>
          <w:ilvl w:val="2"/>
          <w:numId w:val="0"/>
        </w:numPr>
        <w:ind w:left="1440"/>
        <w:rPr>
          <w:rFonts w:cs="Arial"/>
          <w:szCs w:val="18"/>
        </w:rPr>
      </w:pPr>
      <w:r w:rsidRPr="004E11CD">
        <w:rPr>
          <w:rFonts w:cs="Arial"/>
          <w:szCs w:val="18"/>
        </w:rPr>
        <w:t xml:space="preserve">The Residential Construction Loan Policy Rate is available for Loan Policies that insure a mortgage on residential property given to pay for new construction when no Owner’s Policy will be issued. This rate is available when a full search of the property is completed, which includes a search of the easements and restrictions of record. The rate is also available when a prior Owner’s Policy is provided at the time of ordering the Construction Loan Policy and a full search is made updating the prior policy. The title premium </w:t>
      </w:r>
      <w:r w:rsidR="7040A91B" w:rsidRPr="004E11CD">
        <w:rPr>
          <w:rFonts w:cs="Arial"/>
          <w:szCs w:val="18"/>
        </w:rPr>
        <w:t xml:space="preserve">for the Loan Policy </w:t>
      </w:r>
      <w:r w:rsidRPr="004E11CD">
        <w:rPr>
          <w:rFonts w:cs="Arial"/>
          <w:szCs w:val="18"/>
        </w:rPr>
        <w:t>shall be:</w:t>
      </w:r>
    </w:p>
    <w:tbl>
      <w:tblPr>
        <w:tblW w:w="5970" w:type="dxa"/>
        <w:tblInd w:w="1440" w:type="dxa"/>
        <w:tblLayout w:type="fixed"/>
        <w:tblCellMar>
          <w:left w:w="30" w:type="dxa"/>
          <w:right w:w="30" w:type="dxa"/>
        </w:tblCellMar>
        <w:tblLook w:val="0000" w:firstRow="0" w:lastRow="0" w:firstColumn="0" w:lastColumn="0" w:noHBand="0" w:noVBand="0"/>
      </w:tblPr>
      <w:tblGrid>
        <w:gridCol w:w="570"/>
        <w:gridCol w:w="1503"/>
        <w:gridCol w:w="1836"/>
        <w:gridCol w:w="801"/>
        <w:gridCol w:w="1260"/>
      </w:tblGrid>
      <w:tr w:rsidR="00957EF9" w:rsidRPr="00625200" w14:paraId="70744BA8" w14:textId="77777777" w:rsidTr="00957EF9">
        <w:trPr>
          <w:cantSplit/>
        </w:trPr>
        <w:tc>
          <w:tcPr>
            <w:tcW w:w="2073" w:type="dxa"/>
            <w:gridSpan w:val="2"/>
          </w:tcPr>
          <w:p w14:paraId="7046F089" w14:textId="77777777" w:rsidR="00957EF9" w:rsidRPr="00625200" w:rsidRDefault="00957EF9" w:rsidP="00D3700F">
            <w:pPr>
              <w:spacing w:after="40"/>
              <w:jc w:val="center"/>
              <w:rPr>
                <w:rFonts w:ascii="Arial" w:hAnsi="Arial" w:cs="Arial"/>
                <w:kern w:val="2"/>
                <w:sz w:val="18"/>
                <w:szCs w:val="18"/>
              </w:rPr>
            </w:pPr>
            <w:r w:rsidRPr="00625200">
              <w:rPr>
                <w:rFonts w:ascii="Arial" w:hAnsi="Arial" w:cs="Arial"/>
                <w:b/>
                <w:kern w:val="2"/>
                <w:sz w:val="18"/>
                <w:szCs w:val="18"/>
              </w:rPr>
              <w:t>Amount of Insurance</w:t>
            </w:r>
          </w:p>
        </w:tc>
        <w:tc>
          <w:tcPr>
            <w:tcW w:w="1836" w:type="dxa"/>
          </w:tcPr>
          <w:p w14:paraId="6C86A53D" w14:textId="77777777" w:rsidR="00957EF9" w:rsidRPr="00625200" w:rsidRDefault="00957EF9" w:rsidP="00D3700F">
            <w:pPr>
              <w:spacing w:after="40"/>
              <w:jc w:val="center"/>
              <w:rPr>
                <w:rFonts w:ascii="Arial" w:hAnsi="Arial" w:cs="Arial"/>
                <w:kern w:val="2"/>
                <w:sz w:val="18"/>
                <w:szCs w:val="18"/>
              </w:rPr>
            </w:pPr>
          </w:p>
        </w:tc>
        <w:tc>
          <w:tcPr>
            <w:tcW w:w="2061" w:type="dxa"/>
            <w:gridSpan w:val="2"/>
          </w:tcPr>
          <w:p w14:paraId="047DFD8A" w14:textId="77777777" w:rsidR="00957EF9" w:rsidRPr="00625200" w:rsidRDefault="000C0210" w:rsidP="00D3700F">
            <w:pPr>
              <w:spacing w:after="40"/>
              <w:jc w:val="center"/>
              <w:rPr>
                <w:rFonts w:ascii="Arial" w:hAnsi="Arial" w:cs="Arial"/>
                <w:b/>
                <w:kern w:val="2"/>
                <w:sz w:val="18"/>
                <w:szCs w:val="18"/>
              </w:rPr>
            </w:pPr>
            <w:r w:rsidRPr="00625200">
              <w:rPr>
                <w:rFonts w:ascii="Arial" w:hAnsi="Arial" w:cs="Arial"/>
                <w:b/>
                <w:kern w:val="2"/>
                <w:sz w:val="18"/>
                <w:szCs w:val="18"/>
              </w:rPr>
              <w:t>Full</w:t>
            </w:r>
            <w:r w:rsidR="00957EF9" w:rsidRPr="00625200">
              <w:rPr>
                <w:rFonts w:ascii="Arial" w:hAnsi="Arial" w:cs="Arial"/>
                <w:b/>
                <w:kern w:val="2"/>
                <w:sz w:val="18"/>
                <w:szCs w:val="18"/>
              </w:rPr>
              <w:t xml:space="preserve"> Search Rate</w:t>
            </w:r>
          </w:p>
        </w:tc>
      </w:tr>
      <w:tr w:rsidR="00957EF9" w:rsidRPr="00625200" w14:paraId="71FB93A4" w14:textId="77777777" w:rsidTr="00957EF9">
        <w:tc>
          <w:tcPr>
            <w:tcW w:w="570" w:type="dxa"/>
          </w:tcPr>
          <w:p w14:paraId="38875289" w14:textId="77777777" w:rsidR="00957EF9" w:rsidRPr="00625200" w:rsidRDefault="00957EF9" w:rsidP="00D3700F">
            <w:pPr>
              <w:spacing w:after="40"/>
              <w:jc w:val="left"/>
              <w:rPr>
                <w:rFonts w:ascii="Arial" w:hAnsi="Arial" w:cs="Arial"/>
                <w:kern w:val="2"/>
                <w:sz w:val="18"/>
                <w:szCs w:val="18"/>
              </w:rPr>
            </w:pPr>
            <w:r w:rsidRPr="00625200">
              <w:rPr>
                <w:rFonts w:ascii="Arial" w:hAnsi="Arial" w:cs="Arial"/>
                <w:kern w:val="2"/>
                <w:sz w:val="18"/>
                <w:szCs w:val="18"/>
              </w:rPr>
              <w:t>First</w:t>
            </w:r>
          </w:p>
        </w:tc>
        <w:tc>
          <w:tcPr>
            <w:tcW w:w="1503" w:type="dxa"/>
          </w:tcPr>
          <w:p w14:paraId="3A7617D4" w14:textId="1DD95256" w:rsidR="00957EF9" w:rsidRPr="00625200" w:rsidRDefault="00957EF9" w:rsidP="00D3700F">
            <w:pPr>
              <w:spacing w:after="40"/>
              <w:jc w:val="right"/>
              <w:rPr>
                <w:rFonts w:ascii="Arial" w:hAnsi="Arial" w:cs="Arial"/>
                <w:kern w:val="2"/>
                <w:sz w:val="18"/>
                <w:szCs w:val="18"/>
              </w:rPr>
            </w:pPr>
            <w:r w:rsidRPr="00625200">
              <w:rPr>
                <w:rFonts w:ascii="Arial" w:hAnsi="Arial" w:cs="Arial"/>
                <w:kern w:val="2"/>
                <w:sz w:val="18"/>
                <w:szCs w:val="18"/>
              </w:rPr>
              <w:t>$</w:t>
            </w:r>
            <w:r w:rsidR="00D226DF">
              <w:rPr>
                <w:rFonts w:ascii="Arial" w:hAnsi="Arial" w:cs="Arial"/>
                <w:kern w:val="2"/>
                <w:sz w:val="18"/>
                <w:szCs w:val="18"/>
              </w:rPr>
              <w:t>675</w:t>
            </w:r>
            <w:r w:rsidRPr="00625200">
              <w:rPr>
                <w:rFonts w:ascii="Arial" w:hAnsi="Arial" w:cs="Arial"/>
                <w:kern w:val="2"/>
                <w:sz w:val="18"/>
                <w:szCs w:val="18"/>
              </w:rPr>
              <w:t>,000</w:t>
            </w:r>
          </w:p>
        </w:tc>
        <w:tc>
          <w:tcPr>
            <w:tcW w:w="1836" w:type="dxa"/>
          </w:tcPr>
          <w:p w14:paraId="5F7CF37C" w14:textId="77777777" w:rsidR="00957EF9" w:rsidRPr="00625200" w:rsidRDefault="00957EF9" w:rsidP="00D3700F">
            <w:pPr>
              <w:spacing w:after="40"/>
              <w:jc w:val="left"/>
              <w:rPr>
                <w:rFonts w:ascii="Arial" w:hAnsi="Arial" w:cs="Arial"/>
                <w:kern w:val="2"/>
                <w:sz w:val="18"/>
                <w:szCs w:val="18"/>
              </w:rPr>
            </w:pPr>
          </w:p>
        </w:tc>
        <w:tc>
          <w:tcPr>
            <w:tcW w:w="801" w:type="dxa"/>
          </w:tcPr>
          <w:p w14:paraId="5795C339" w14:textId="09178091" w:rsidR="00957EF9" w:rsidRPr="00625200" w:rsidRDefault="00957EF9" w:rsidP="00D3700F">
            <w:pPr>
              <w:spacing w:after="40"/>
              <w:jc w:val="right"/>
              <w:rPr>
                <w:rFonts w:ascii="Arial" w:hAnsi="Arial" w:cs="Arial"/>
                <w:kern w:val="2"/>
                <w:sz w:val="18"/>
                <w:szCs w:val="18"/>
              </w:rPr>
            </w:pPr>
            <w:r w:rsidRPr="00625200">
              <w:rPr>
                <w:rFonts w:ascii="Arial" w:hAnsi="Arial" w:cs="Arial"/>
                <w:kern w:val="2"/>
                <w:sz w:val="18"/>
                <w:szCs w:val="18"/>
              </w:rPr>
              <w:t>$</w:t>
            </w:r>
            <w:r w:rsidR="00625200" w:rsidRPr="00625200">
              <w:rPr>
                <w:rFonts w:ascii="Arial" w:hAnsi="Arial" w:cs="Arial"/>
                <w:kern w:val="2"/>
                <w:sz w:val="18"/>
                <w:szCs w:val="18"/>
              </w:rPr>
              <w:t>675</w:t>
            </w:r>
            <w:r w:rsidRPr="00625200">
              <w:rPr>
                <w:rFonts w:ascii="Arial" w:hAnsi="Arial" w:cs="Arial"/>
                <w:kern w:val="2"/>
                <w:sz w:val="18"/>
                <w:szCs w:val="18"/>
              </w:rPr>
              <w:t>.00</w:t>
            </w:r>
          </w:p>
        </w:tc>
        <w:tc>
          <w:tcPr>
            <w:tcW w:w="1260" w:type="dxa"/>
          </w:tcPr>
          <w:p w14:paraId="276F401E" w14:textId="77777777" w:rsidR="00957EF9" w:rsidRPr="00625200" w:rsidRDefault="00957EF9" w:rsidP="00D3700F">
            <w:pPr>
              <w:spacing w:after="40"/>
              <w:jc w:val="left"/>
              <w:rPr>
                <w:rFonts w:ascii="Arial" w:hAnsi="Arial" w:cs="Arial"/>
                <w:kern w:val="2"/>
                <w:sz w:val="18"/>
                <w:szCs w:val="18"/>
              </w:rPr>
            </w:pPr>
          </w:p>
        </w:tc>
      </w:tr>
      <w:tr w:rsidR="00957EF9" w:rsidRPr="00625200" w14:paraId="67FDDA96" w14:textId="77777777" w:rsidTr="00957EF9">
        <w:tc>
          <w:tcPr>
            <w:tcW w:w="570" w:type="dxa"/>
          </w:tcPr>
          <w:p w14:paraId="5B5BE520" w14:textId="77777777" w:rsidR="00957EF9" w:rsidRPr="00625200" w:rsidRDefault="00957EF9" w:rsidP="00D3700F">
            <w:pPr>
              <w:spacing w:after="40"/>
              <w:jc w:val="left"/>
              <w:rPr>
                <w:rFonts w:ascii="Arial" w:hAnsi="Arial" w:cs="Arial"/>
                <w:kern w:val="2"/>
                <w:sz w:val="18"/>
                <w:szCs w:val="18"/>
              </w:rPr>
            </w:pPr>
            <w:r w:rsidRPr="00625200">
              <w:rPr>
                <w:rFonts w:ascii="Arial" w:hAnsi="Arial" w:cs="Arial"/>
                <w:kern w:val="2"/>
                <w:sz w:val="18"/>
                <w:szCs w:val="18"/>
              </w:rPr>
              <w:t>Over</w:t>
            </w:r>
          </w:p>
        </w:tc>
        <w:tc>
          <w:tcPr>
            <w:tcW w:w="1503" w:type="dxa"/>
          </w:tcPr>
          <w:p w14:paraId="6F71E1DA" w14:textId="033E0A34" w:rsidR="00957EF9" w:rsidRPr="00625200" w:rsidRDefault="00957EF9" w:rsidP="00D3700F">
            <w:pPr>
              <w:spacing w:after="40"/>
              <w:jc w:val="right"/>
              <w:rPr>
                <w:rFonts w:ascii="Arial" w:hAnsi="Arial" w:cs="Arial"/>
                <w:kern w:val="2"/>
                <w:sz w:val="18"/>
                <w:szCs w:val="18"/>
              </w:rPr>
            </w:pPr>
            <w:r w:rsidRPr="00625200">
              <w:rPr>
                <w:rFonts w:ascii="Arial" w:hAnsi="Arial" w:cs="Arial"/>
                <w:kern w:val="2"/>
                <w:sz w:val="18"/>
                <w:szCs w:val="18"/>
              </w:rPr>
              <w:t>$</w:t>
            </w:r>
            <w:r w:rsidR="00D226DF">
              <w:rPr>
                <w:rFonts w:ascii="Arial" w:hAnsi="Arial" w:cs="Arial"/>
                <w:kern w:val="2"/>
                <w:sz w:val="18"/>
                <w:szCs w:val="18"/>
              </w:rPr>
              <w:t>675</w:t>
            </w:r>
            <w:r w:rsidRPr="00625200">
              <w:rPr>
                <w:rFonts w:ascii="Arial" w:hAnsi="Arial" w:cs="Arial"/>
                <w:kern w:val="2"/>
                <w:sz w:val="18"/>
                <w:szCs w:val="18"/>
              </w:rPr>
              <w:t>,000</w:t>
            </w:r>
          </w:p>
        </w:tc>
        <w:tc>
          <w:tcPr>
            <w:tcW w:w="1836" w:type="dxa"/>
          </w:tcPr>
          <w:p w14:paraId="7EF2513E" w14:textId="77777777" w:rsidR="00957EF9" w:rsidRPr="00625200" w:rsidRDefault="00957EF9" w:rsidP="00D3700F">
            <w:pPr>
              <w:spacing w:after="40"/>
              <w:jc w:val="right"/>
              <w:rPr>
                <w:rFonts w:ascii="Arial" w:hAnsi="Arial" w:cs="Arial"/>
                <w:kern w:val="2"/>
                <w:sz w:val="18"/>
                <w:szCs w:val="18"/>
              </w:rPr>
            </w:pPr>
            <w:r w:rsidRPr="00625200">
              <w:rPr>
                <w:rFonts w:ascii="Arial" w:hAnsi="Arial" w:cs="Arial"/>
                <w:kern w:val="2"/>
                <w:sz w:val="18"/>
                <w:szCs w:val="18"/>
              </w:rPr>
              <w:t>Add</w:t>
            </w:r>
          </w:p>
        </w:tc>
        <w:tc>
          <w:tcPr>
            <w:tcW w:w="801" w:type="dxa"/>
          </w:tcPr>
          <w:p w14:paraId="3123AAD7" w14:textId="77777777" w:rsidR="00957EF9" w:rsidRPr="00625200" w:rsidRDefault="00957EF9" w:rsidP="00D3700F">
            <w:pPr>
              <w:spacing w:after="40"/>
              <w:jc w:val="right"/>
              <w:rPr>
                <w:rFonts w:ascii="Arial" w:hAnsi="Arial" w:cs="Arial"/>
                <w:kern w:val="2"/>
                <w:sz w:val="18"/>
                <w:szCs w:val="18"/>
              </w:rPr>
            </w:pPr>
            <w:r w:rsidRPr="00625200">
              <w:rPr>
                <w:rFonts w:ascii="Arial" w:hAnsi="Arial" w:cs="Arial"/>
                <w:kern w:val="2"/>
                <w:sz w:val="18"/>
                <w:szCs w:val="18"/>
              </w:rPr>
              <w:t>$1.00</w:t>
            </w:r>
          </w:p>
        </w:tc>
        <w:tc>
          <w:tcPr>
            <w:tcW w:w="1260" w:type="dxa"/>
          </w:tcPr>
          <w:p w14:paraId="405DC290" w14:textId="77777777" w:rsidR="00957EF9" w:rsidRPr="00625200" w:rsidRDefault="00957EF9" w:rsidP="00D3700F">
            <w:pPr>
              <w:spacing w:after="40"/>
              <w:jc w:val="left"/>
              <w:rPr>
                <w:rFonts w:ascii="Arial" w:hAnsi="Arial" w:cs="Arial"/>
                <w:kern w:val="2"/>
                <w:sz w:val="18"/>
                <w:szCs w:val="18"/>
              </w:rPr>
            </w:pPr>
            <w:r w:rsidRPr="00625200">
              <w:rPr>
                <w:rFonts w:ascii="Arial" w:hAnsi="Arial" w:cs="Arial"/>
                <w:kern w:val="2"/>
                <w:sz w:val="18"/>
                <w:szCs w:val="18"/>
              </w:rPr>
              <w:t xml:space="preserve"> per thousand</w:t>
            </w:r>
          </w:p>
        </w:tc>
      </w:tr>
      <w:tr w:rsidR="001A4959" w:rsidRPr="00625200" w14:paraId="46825F10" w14:textId="77777777" w:rsidTr="00957EF9">
        <w:tc>
          <w:tcPr>
            <w:tcW w:w="570" w:type="dxa"/>
          </w:tcPr>
          <w:p w14:paraId="458DDC26" w14:textId="77777777" w:rsidR="001A4959" w:rsidRPr="00625200" w:rsidRDefault="001A4959" w:rsidP="00D3700F">
            <w:pPr>
              <w:spacing w:after="40"/>
              <w:jc w:val="left"/>
              <w:rPr>
                <w:rFonts w:ascii="Arial" w:hAnsi="Arial" w:cs="Arial"/>
                <w:kern w:val="2"/>
                <w:sz w:val="18"/>
                <w:szCs w:val="18"/>
              </w:rPr>
            </w:pPr>
          </w:p>
        </w:tc>
        <w:tc>
          <w:tcPr>
            <w:tcW w:w="1503" w:type="dxa"/>
          </w:tcPr>
          <w:p w14:paraId="6E436E33" w14:textId="77777777" w:rsidR="001A4959" w:rsidRPr="00625200" w:rsidRDefault="001A4959" w:rsidP="00D3700F">
            <w:pPr>
              <w:spacing w:after="40"/>
              <w:jc w:val="right"/>
              <w:rPr>
                <w:rFonts w:ascii="Arial" w:hAnsi="Arial" w:cs="Arial"/>
                <w:kern w:val="2"/>
                <w:sz w:val="18"/>
                <w:szCs w:val="18"/>
              </w:rPr>
            </w:pPr>
          </w:p>
        </w:tc>
        <w:tc>
          <w:tcPr>
            <w:tcW w:w="1836" w:type="dxa"/>
          </w:tcPr>
          <w:p w14:paraId="2BE796E9" w14:textId="77777777" w:rsidR="001A4959" w:rsidRPr="00625200" w:rsidRDefault="001A4959" w:rsidP="00D3700F">
            <w:pPr>
              <w:spacing w:after="40"/>
              <w:jc w:val="right"/>
              <w:rPr>
                <w:rFonts w:ascii="Arial" w:hAnsi="Arial" w:cs="Arial"/>
                <w:kern w:val="2"/>
                <w:sz w:val="18"/>
                <w:szCs w:val="18"/>
              </w:rPr>
            </w:pPr>
          </w:p>
        </w:tc>
        <w:tc>
          <w:tcPr>
            <w:tcW w:w="801" w:type="dxa"/>
          </w:tcPr>
          <w:p w14:paraId="6E953033" w14:textId="77777777" w:rsidR="001A4959" w:rsidRPr="00625200" w:rsidRDefault="001A4959" w:rsidP="00D3700F">
            <w:pPr>
              <w:spacing w:after="40"/>
              <w:jc w:val="right"/>
              <w:rPr>
                <w:rFonts w:ascii="Arial" w:hAnsi="Arial" w:cs="Arial"/>
                <w:kern w:val="2"/>
                <w:sz w:val="18"/>
                <w:szCs w:val="18"/>
              </w:rPr>
            </w:pPr>
          </w:p>
        </w:tc>
        <w:tc>
          <w:tcPr>
            <w:tcW w:w="1260" w:type="dxa"/>
          </w:tcPr>
          <w:p w14:paraId="6C670046" w14:textId="77777777" w:rsidR="001A4959" w:rsidRPr="00625200" w:rsidRDefault="001A4959" w:rsidP="00D3700F">
            <w:pPr>
              <w:spacing w:after="40"/>
              <w:jc w:val="left"/>
              <w:rPr>
                <w:rFonts w:ascii="Arial" w:hAnsi="Arial" w:cs="Arial"/>
                <w:kern w:val="2"/>
                <w:sz w:val="18"/>
                <w:szCs w:val="18"/>
              </w:rPr>
            </w:pPr>
          </w:p>
        </w:tc>
      </w:tr>
    </w:tbl>
    <w:p w14:paraId="10B7A940" w14:textId="6201F963" w:rsidR="00957EF9" w:rsidRDefault="00957EF9" w:rsidP="001A4959">
      <w:pPr>
        <w:pStyle w:val="Heading4"/>
        <w:numPr>
          <w:ilvl w:val="2"/>
          <w:numId w:val="0"/>
        </w:numPr>
        <w:ind w:left="1440"/>
      </w:pPr>
      <w:r>
        <w:t xml:space="preserve">The Reissue Rate is not available </w:t>
      </w:r>
      <w:r w:rsidR="56617206">
        <w:t>for a</w:t>
      </w:r>
      <w:r>
        <w:t xml:space="preserve"> Loan Policy</w:t>
      </w:r>
      <w:r w:rsidR="2F62B7B3">
        <w:t xml:space="preserve"> insuring a </w:t>
      </w:r>
      <w:r w:rsidR="4CD5DD5B">
        <w:t xml:space="preserve">residential </w:t>
      </w:r>
      <w:r w:rsidR="2F62B7B3">
        <w:t xml:space="preserve">construction loan. </w:t>
      </w:r>
      <w:r>
        <w:t>However, in situations where an Owner’s and Loan Policy or Policies will be issued simultaneously, the premium shall be based on the Original Policy Rate, Reissue Rate, and Simultaneous Issue Rate, as applicable.</w:t>
      </w:r>
      <w:r w:rsidR="22290F90">
        <w:t xml:space="preserve"> If the construction loan amount exceeds the amount of the Owner’s policy, </w:t>
      </w:r>
      <w:r w:rsidR="6E752E7F">
        <w:t xml:space="preserve">the Reissue Rate shall apply to the </w:t>
      </w:r>
      <w:r w:rsidR="78D23A3E">
        <w:t xml:space="preserve">increase in the </w:t>
      </w:r>
      <w:r w:rsidR="6E752E7F">
        <w:t>Owner’s Po</w:t>
      </w:r>
      <w:r w:rsidR="7462ED6C">
        <w:t xml:space="preserve">licy </w:t>
      </w:r>
      <w:r w:rsidR="6E752E7F">
        <w:t>at the premiu</w:t>
      </w:r>
      <w:r w:rsidR="43CE5330">
        <w:t>m tier</w:t>
      </w:r>
      <w:r w:rsidR="74C19254">
        <w:t xml:space="preserve"> of the current Owner’s Policy. </w:t>
      </w:r>
      <w:r w:rsidR="35C21DB9">
        <w:t>The Loan Policy premium shall be calculated as stated above.</w:t>
      </w:r>
      <w:r w:rsidR="74C19254">
        <w:t xml:space="preserve"> </w:t>
      </w:r>
    </w:p>
    <w:p w14:paraId="70E4C048" w14:textId="77777777" w:rsidR="00567AC1" w:rsidRDefault="00567AC1" w:rsidP="004E11CD">
      <w:pPr>
        <w:pStyle w:val="Heading3"/>
        <w:keepNext/>
      </w:pPr>
      <w:bookmarkStart w:id="19" w:name="_Toc30012885"/>
      <w:bookmarkStart w:id="20" w:name="_Toc138852524"/>
      <w:r>
        <w:lastRenderedPageBreak/>
        <w:t>Residential New Construction Refinance Rate</w:t>
      </w:r>
      <w:bookmarkEnd w:id="19"/>
      <w:bookmarkEnd w:id="20"/>
    </w:p>
    <w:p w14:paraId="12B187AA" w14:textId="6A463743" w:rsidR="00567AC1" w:rsidRDefault="00567AC1" w:rsidP="001A4959">
      <w:pPr>
        <w:pStyle w:val="Heading4"/>
        <w:numPr>
          <w:ilvl w:val="2"/>
          <w:numId w:val="0"/>
        </w:numPr>
        <w:ind w:left="1440"/>
      </w:pPr>
      <w:r>
        <w:t xml:space="preserve">A Residential New Construction Refinance Rate should be used when a construction loan is being refinanced into permanent financing with the same lender that financed the construction loan. A new </w:t>
      </w:r>
      <w:r w:rsidR="00957EF9">
        <w:t xml:space="preserve">Policy </w:t>
      </w:r>
      <w:r>
        <w:t>may be issued by the same issuing office to insure the Mortgage securing the permanent financing for a premium of $</w:t>
      </w:r>
      <w:r w:rsidR="6FFEBE40">
        <w:t>325</w:t>
      </w:r>
      <w:r>
        <w:t xml:space="preserve"> up to the construction loan amount. If the permanent financing exceeds the amount of the construction loan, additional insurance will be provided at the </w:t>
      </w:r>
      <w:r w:rsidR="00242C7F">
        <w:t>Reissue</w:t>
      </w:r>
      <w:r>
        <w:t xml:space="preserve"> Rate set forth in Section II, paragraph </w:t>
      </w:r>
      <w:r w:rsidR="00242C7F">
        <w:t>B</w:t>
      </w:r>
      <w:r>
        <w:t>.</w:t>
      </w:r>
    </w:p>
    <w:p w14:paraId="5B8C6420" w14:textId="19DC001C" w:rsidR="00173D8C" w:rsidRDefault="00173D8C" w:rsidP="004E11CD">
      <w:pPr>
        <w:pStyle w:val="Heading3"/>
        <w:keepNext/>
      </w:pPr>
      <w:bookmarkStart w:id="21" w:name="_Toc138852525"/>
      <w:r>
        <w:t>ALTA Short Form Residential Loan Policy Rate – Simplified Refinance Rate</w:t>
      </w:r>
      <w:bookmarkEnd w:id="21"/>
    </w:p>
    <w:p w14:paraId="34F830F2" w14:textId="305C5774" w:rsidR="00173D8C" w:rsidRPr="00173D8C" w:rsidRDefault="00173D8C" w:rsidP="00173D8C">
      <w:pPr>
        <w:pStyle w:val="Heading4"/>
        <w:numPr>
          <w:ilvl w:val="0"/>
          <w:numId w:val="0"/>
        </w:numPr>
        <w:ind w:left="1440"/>
      </w:pPr>
      <w:r>
        <w:t>A Simplified Refinance Rate is available when using an ALTA Short Form Residential Loan Policy in connection with loan transactions meeting the criteria set forth in this section. The charge shown includes the issuance of the ALTA 6, ALTA 6.2, and ALTA 28-06 endorsements at no additional charge if underwriting requirements are satisfied.</w:t>
      </w:r>
    </w:p>
    <w:tbl>
      <w:tblPr>
        <w:tblW w:w="5787" w:type="dxa"/>
        <w:tblInd w:w="1440" w:type="dxa"/>
        <w:tblLayout w:type="fixed"/>
        <w:tblCellMar>
          <w:left w:w="30" w:type="dxa"/>
          <w:right w:w="30" w:type="dxa"/>
        </w:tblCellMar>
        <w:tblLook w:val="0000" w:firstRow="0" w:lastRow="0" w:firstColumn="0" w:lastColumn="0" w:noHBand="0" w:noVBand="0"/>
      </w:tblPr>
      <w:tblGrid>
        <w:gridCol w:w="2073"/>
        <w:gridCol w:w="2061"/>
        <w:gridCol w:w="1653"/>
      </w:tblGrid>
      <w:tr w:rsidR="00E3307A" w:rsidRPr="00625200" w14:paraId="0752E411" w14:textId="77777777" w:rsidTr="006670E9">
        <w:trPr>
          <w:gridAfter w:val="1"/>
          <w:wAfter w:w="1653" w:type="dxa"/>
          <w:cantSplit/>
        </w:trPr>
        <w:tc>
          <w:tcPr>
            <w:tcW w:w="2073" w:type="dxa"/>
          </w:tcPr>
          <w:p w14:paraId="14757788" w14:textId="4CD8DF92" w:rsidR="00E3307A" w:rsidRPr="00E3307A" w:rsidRDefault="00E3307A" w:rsidP="00E3307A">
            <w:pPr>
              <w:spacing w:after="40"/>
              <w:jc w:val="center"/>
              <w:rPr>
                <w:rFonts w:ascii="Arial" w:hAnsi="Arial" w:cs="Arial"/>
                <w:b/>
                <w:kern w:val="2"/>
                <w:sz w:val="18"/>
                <w:szCs w:val="18"/>
              </w:rPr>
            </w:pPr>
            <w:r w:rsidRPr="00625200">
              <w:rPr>
                <w:rFonts w:ascii="Arial" w:hAnsi="Arial" w:cs="Arial"/>
                <w:b/>
                <w:kern w:val="2"/>
                <w:sz w:val="18"/>
                <w:szCs w:val="18"/>
              </w:rPr>
              <w:t>Amount of Insurance</w:t>
            </w:r>
            <w:r>
              <w:rPr>
                <w:rFonts w:ascii="Arial" w:hAnsi="Arial" w:cs="Arial"/>
                <w:b/>
                <w:kern w:val="2"/>
                <w:sz w:val="18"/>
                <w:szCs w:val="18"/>
              </w:rPr>
              <w:br/>
              <w:t>(up to and including)</w:t>
            </w:r>
          </w:p>
        </w:tc>
        <w:tc>
          <w:tcPr>
            <w:tcW w:w="2061" w:type="dxa"/>
          </w:tcPr>
          <w:p w14:paraId="70910AA9" w14:textId="62BF157E" w:rsidR="00E3307A" w:rsidRPr="00625200" w:rsidRDefault="00E3307A" w:rsidP="00A621E8">
            <w:pPr>
              <w:spacing w:after="40"/>
              <w:jc w:val="center"/>
              <w:rPr>
                <w:rFonts w:ascii="Arial" w:hAnsi="Arial" w:cs="Arial"/>
                <w:b/>
                <w:kern w:val="2"/>
                <w:sz w:val="18"/>
                <w:szCs w:val="18"/>
              </w:rPr>
            </w:pPr>
            <w:r w:rsidRPr="00E3307A">
              <w:rPr>
                <w:rFonts w:ascii="Arial" w:hAnsi="Arial" w:cs="Arial"/>
                <w:b/>
                <w:kern w:val="2"/>
                <w:sz w:val="18"/>
                <w:szCs w:val="18"/>
              </w:rPr>
              <w:t xml:space="preserve">Simplified Refinance </w:t>
            </w:r>
            <w:r w:rsidRPr="00625200">
              <w:rPr>
                <w:rFonts w:ascii="Arial" w:hAnsi="Arial" w:cs="Arial"/>
                <w:b/>
                <w:kern w:val="2"/>
                <w:sz w:val="18"/>
                <w:szCs w:val="18"/>
              </w:rPr>
              <w:t>Rate</w:t>
            </w:r>
          </w:p>
        </w:tc>
      </w:tr>
      <w:tr w:rsidR="00E3307A" w:rsidRPr="00625200" w14:paraId="595CD2A8" w14:textId="77777777" w:rsidTr="006670E9">
        <w:trPr>
          <w:gridAfter w:val="1"/>
          <w:wAfter w:w="1653" w:type="dxa"/>
          <w:cantSplit/>
        </w:trPr>
        <w:tc>
          <w:tcPr>
            <w:tcW w:w="2073" w:type="dxa"/>
          </w:tcPr>
          <w:p w14:paraId="3F6F7775" w14:textId="11397FAD" w:rsidR="00E3307A" w:rsidRPr="00625200" w:rsidRDefault="00E3307A" w:rsidP="00E3307A">
            <w:pPr>
              <w:spacing w:after="40"/>
              <w:ind w:right="546"/>
              <w:jc w:val="right"/>
              <w:rPr>
                <w:rFonts w:ascii="Arial" w:hAnsi="Arial" w:cs="Arial"/>
                <w:b/>
                <w:kern w:val="2"/>
                <w:sz w:val="18"/>
                <w:szCs w:val="18"/>
              </w:rPr>
            </w:pPr>
            <w:r w:rsidRPr="00625200">
              <w:rPr>
                <w:rFonts w:ascii="Arial" w:hAnsi="Arial" w:cs="Arial"/>
                <w:kern w:val="2"/>
                <w:sz w:val="18"/>
                <w:szCs w:val="18"/>
              </w:rPr>
              <w:t>$</w:t>
            </w:r>
            <w:r>
              <w:rPr>
                <w:rFonts w:ascii="Arial" w:hAnsi="Arial" w:cs="Arial"/>
                <w:kern w:val="2"/>
                <w:sz w:val="18"/>
                <w:szCs w:val="18"/>
              </w:rPr>
              <w:t>250,000</w:t>
            </w:r>
          </w:p>
        </w:tc>
        <w:tc>
          <w:tcPr>
            <w:tcW w:w="2061" w:type="dxa"/>
          </w:tcPr>
          <w:p w14:paraId="324698B3" w14:textId="41B9D4E7" w:rsidR="00E3307A" w:rsidRPr="00E3307A" w:rsidRDefault="00E3307A" w:rsidP="00E3307A">
            <w:pPr>
              <w:spacing w:after="40"/>
              <w:ind w:right="734"/>
              <w:jc w:val="right"/>
              <w:rPr>
                <w:rFonts w:ascii="Arial" w:hAnsi="Arial" w:cs="Arial"/>
                <w:bCs/>
                <w:kern w:val="2"/>
                <w:sz w:val="18"/>
                <w:szCs w:val="18"/>
              </w:rPr>
            </w:pPr>
            <w:r w:rsidRPr="00E3307A">
              <w:rPr>
                <w:rFonts w:ascii="Arial" w:hAnsi="Arial" w:cs="Arial"/>
                <w:bCs/>
                <w:kern w:val="2"/>
                <w:sz w:val="18"/>
                <w:szCs w:val="18"/>
              </w:rPr>
              <w:t>$330</w:t>
            </w:r>
          </w:p>
        </w:tc>
      </w:tr>
      <w:tr w:rsidR="00E3307A" w:rsidRPr="00625200" w14:paraId="49476C95" w14:textId="77777777" w:rsidTr="006670E9">
        <w:trPr>
          <w:gridAfter w:val="1"/>
          <w:wAfter w:w="1653" w:type="dxa"/>
          <w:cantSplit/>
        </w:trPr>
        <w:tc>
          <w:tcPr>
            <w:tcW w:w="2073" w:type="dxa"/>
          </w:tcPr>
          <w:p w14:paraId="6D227159" w14:textId="63F93D42" w:rsidR="00E3307A" w:rsidRPr="00625200" w:rsidRDefault="00103DF6" w:rsidP="00E3307A">
            <w:pPr>
              <w:spacing w:after="40"/>
              <w:ind w:right="546"/>
              <w:jc w:val="right"/>
              <w:rPr>
                <w:rFonts w:ascii="Arial" w:hAnsi="Arial" w:cs="Arial"/>
                <w:kern w:val="2"/>
                <w:sz w:val="18"/>
                <w:szCs w:val="18"/>
              </w:rPr>
            </w:pPr>
            <w:r>
              <w:rPr>
                <w:rFonts w:ascii="Arial" w:hAnsi="Arial" w:cs="Arial"/>
                <w:kern w:val="2"/>
                <w:sz w:val="18"/>
                <w:szCs w:val="18"/>
              </w:rPr>
              <w:t>$500,000</w:t>
            </w:r>
          </w:p>
        </w:tc>
        <w:tc>
          <w:tcPr>
            <w:tcW w:w="2061" w:type="dxa"/>
          </w:tcPr>
          <w:p w14:paraId="5D6365DB" w14:textId="284CF944" w:rsidR="00E3307A" w:rsidRPr="00E3307A" w:rsidRDefault="00E3307A" w:rsidP="00E3307A">
            <w:pPr>
              <w:spacing w:after="40"/>
              <w:ind w:right="734"/>
              <w:jc w:val="right"/>
              <w:rPr>
                <w:rFonts w:ascii="Arial" w:hAnsi="Arial" w:cs="Arial"/>
                <w:bCs/>
                <w:kern w:val="2"/>
                <w:sz w:val="18"/>
                <w:szCs w:val="18"/>
              </w:rPr>
            </w:pPr>
            <w:r>
              <w:rPr>
                <w:rFonts w:ascii="Arial" w:hAnsi="Arial" w:cs="Arial"/>
                <w:bCs/>
                <w:kern w:val="2"/>
                <w:sz w:val="18"/>
                <w:szCs w:val="18"/>
              </w:rPr>
              <w:t>$</w:t>
            </w:r>
            <w:r w:rsidR="00103DF6">
              <w:rPr>
                <w:rFonts w:ascii="Arial" w:hAnsi="Arial" w:cs="Arial"/>
                <w:bCs/>
                <w:kern w:val="2"/>
                <w:sz w:val="18"/>
                <w:szCs w:val="18"/>
              </w:rPr>
              <w:t>450</w:t>
            </w:r>
          </w:p>
        </w:tc>
      </w:tr>
      <w:tr w:rsidR="00E3307A" w:rsidRPr="00625200" w14:paraId="67959EF7" w14:textId="77777777" w:rsidTr="006670E9">
        <w:trPr>
          <w:gridAfter w:val="1"/>
          <w:wAfter w:w="1653" w:type="dxa"/>
          <w:cantSplit/>
        </w:trPr>
        <w:tc>
          <w:tcPr>
            <w:tcW w:w="2073" w:type="dxa"/>
          </w:tcPr>
          <w:p w14:paraId="63994458" w14:textId="791249E5" w:rsidR="00E3307A" w:rsidRPr="00625200" w:rsidRDefault="00103DF6" w:rsidP="00E3307A">
            <w:pPr>
              <w:spacing w:after="40"/>
              <w:ind w:right="546"/>
              <w:jc w:val="right"/>
              <w:rPr>
                <w:rFonts w:ascii="Arial" w:hAnsi="Arial" w:cs="Arial"/>
                <w:kern w:val="2"/>
                <w:sz w:val="18"/>
                <w:szCs w:val="18"/>
              </w:rPr>
            </w:pPr>
            <w:r>
              <w:rPr>
                <w:rFonts w:ascii="Arial" w:hAnsi="Arial" w:cs="Arial"/>
                <w:kern w:val="2"/>
                <w:sz w:val="18"/>
                <w:szCs w:val="18"/>
              </w:rPr>
              <w:t>$750,000</w:t>
            </w:r>
          </w:p>
        </w:tc>
        <w:tc>
          <w:tcPr>
            <w:tcW w:w="2061" w:type="dxa"/>
          </w:tcPr>
          <w:p w14:paraId="09DFBE56" w14:textId="07DF2E9D" w:rsidR="00E3307A" w:rsidRPr="00E3307A" w:rsidRDefault="00103DF6" w:rsidP="00E3307A">
            <w:pPr>
              <w:spacing w:after="40"/>
              <w:ind w:right="734"/>
              <w:jc w:val="right"/>
              <w:rPr>
                <w:rFonts w:ascii="Arial" w:hAnsi="Arial" w:cs="Arial"/>
                <w:bCs/>
                <w:kern w:val="2"/>
                <w:sz w:val="18"/>
                <w:szCs w:val="18"/>
              </w:rPr>
            </w:pPr>
            <w:r>
              <w:rPr>
                <w:rFonts w:ascii="Arial" w:hAnsi="Arial" w:cs="Arial"/>
                <w:bCs/>
                <w:kern w:val="2"/>
                <w:sz w:val="18"/>
                <w:szCs w:val="18"/>
              </w:rPr>
              <w:t>$580</w:t>
            </w:r>
          </w:p>
        </w:tc>
      </w:tr>
      <w:tr w:rsidR="00E3307A" w:rsidRPr="00625200" w14:paraId="62D58499" w14:textId="77777777" w:rsidTr="006670E9">
        <w:trPr>
          <w:gridAfter w:val="1"/>
          <w:wAfter w:w="1653" w:type="dxa"/>
          <w:cantSplit/>
        </w:trPr>
        <w:tc>
          <w:tcPr>
            <w:tcW w:w="2073" w:type="dxa"/>
          </w:tcPr>
          <w:p w14:paraId="61C6872B" w14:textId="7C1768CB" w:rsidR="00E3307A" w:rsidRPr="00625200" w:rsidRDefault="00103DF6" w:rsidP="00E3307A">
            <w:pPr>
              <w:spacing w:after="40"/>
              <w:ind w:right="546"/>
              <w:jc w:val="right"/>
              <w:rPr>
                <w:rFonts w:ascii="Arial" w:hAnsi="Arial" w:cs="Arial"/>
                <w:kern w:val="2"/>
                <w:sz w:val="18"/>
                <w:szCs w:val="18"/>
              </w:rPr>
            </w:pPr>
            <w:r>
              <w:rPr>
                <w:rFonts w:ascii="Arial" w:hAnsi="Arial" w:cs="Arial"/>
                <w:kern w:val="2"/>
                <w:sz w:val="18"/>
                <w:szCs w:val="18"/>
              </w:rPr>
              <w:t>$1,000,000</w:t>
            </w:r>
          </w:p>
        </w:tc>
        <w:tc>
          <w:tcPr>
            <w:tcW w:w="2061" w:type="dxa"/>
          </w:tcPr>
          <w:p w14:paraId="183C7808" w14:textId="19FEAF7D" w:rsidR="00E3307A" w:rsidRPr="00E3307A" w:rsidRDefault="00103DF6" w:rsidP="00E3307A">
            <w:pPr>
              <w:spacing w:after="40"/>
              <w:ind w:right="734"/>
              <w:jc w:val="right"/>
              <w:rPr>
                <w:rFonts w:ascii="Arial" w:hAnsi="Arial" w:cs="Arial"/>
                <w:bCs/>
                <w:kern w:val="2"/>
                <w:sz w:val="18"/>
                <w:szCs w:val="18"/>
              </w:rPr>
            </w:pPr>
            <w:r>
              <w:rPr>
                <w:rFonts w:ascii="Arial" w:hAnsi="Arial" w:cs="Arial"/>
                <w:bCs/>
                <w:kern w:val="2"/>
                <w:sz w:val="18"/>
                <w:szCs w:val="18"/>
              </w:rPr>
              <w:t>$640</w:t>
            </w:r>
          </w:p>
        </w:tc>
      </w:tr>
      <w:tr w:rsidR="006670E9" w:rsidRPr="00625200" w14:paraId="1BFE3A65" w14:textId="77777777" w:rsidTr="006670E9">
        <w:trPr>
          <w:gridAfter w:val="1"/>
          <w:wAfter w:w="1653" w:type="dxa"/>
          <w:cantSplit/>
        </w:trPr>
        <w:tc>
          <w:tcPr>
            <w:tcW w:w="2073" w:type="dxa"/>
          </w:tcPr>
          <w:p w14:paraId="418FA881" w14:textId="2D0DF89C" w:rsidR="006670E9" w:rsidRDefault="006670E9" w:rsidP="00E3307A">
            <w:pPr>
              <w:spacing w:after="40"/>
              <w:ind w:right="546"/>
              <w:jc w:val="right"/>
              <w:rPr>
                <w:rFonts w:ascii="Arial" w:hAnsi="Arial" w:cs="Arial"/>
                <w:kern w:val="2"/>
                <w:sz w:val="18"/>
                <w:szCs w:val="18"/>
              </w:rPr>
            </w:pPr>
            <w:r>
              <w:rPr>
                <w:rFonts w:ascii="Arial" w:hAnsi="Arial" w:cs="Arial"/>
                <w:kern w:val="2"/>
                <w:sz w:val="18"/>
                <w:szCs w:val="18"/>
              </w:rPr>
              <w:t>$1,500,000</w:t>
            </w:r>
          </w:p>
        </w:tc>
        <w:tc>
          <w:tcPr>
            <w:tcW w:w="2061" w:type="dxa"/>
          </w:tcPr>
          <w:p w14:paraId="3F402CAA" w14:textId="0FAC9ACA" w:rsidR="006670E9" w:rsidRDefault="006670E9" w:rsidP="00E3307A">
            <w:pPr>
              <w:spacing w:after="40"/>
              <w:ind w:right="734"/>
              <w:jc w:val="right"/>
              <w:rPr>
                <w:rFonts w:ascii="Arial" w:hAnsi="Arial" w:cs="Arial"/>
                <w:bCs/>
                <w:kern w:val="2"/>
                <w:sz w:val="18"/>
                <w:szCs w:val="18"/>
              </w:rPr>
            </w:pPr>
            <w:r>
              <w:rPr>
                <w:rFonts w:ascii="Arial" w:hAnsi="Arial" w:cs="Arial"/>
                <w:bCs/>
                <w:kern w:val="2"/>
                <w:sz w:val="18"/>
                <w:szCs w:val="18"/>
              </w:rPr>
              <w:t>$965</w:t>
            </w:r>
          </w:p>
        </w:tc>
      </w:tr>
      <w:tr w:rsidR="00E3307A" w:rsidRPr="00625200" w14:paraId="511918B1" w14:textId="77777777" w:rsidTr="006670E9">
        <w:trPr>
          <w:gridAfter w:val="1"/>
          <w:wAfter w:w="1653" w:type="dxa"/>
          <w:cantSplit/>
        </w:trPr>
        <w:tc>
          <w:tcPr>
            <w:tcW w:w="2073" w:type="dxa"/>
          </w:tcPr>
          <w:p w14:paraId="19CB5AB0" w14:textId="62B57471" w:rsidR="00E3307A" w:rsidRPr="00625200" w:rsidRDefault="00103DF6" w:rsidP="00E3307A">
            <w:pPr>
              <w:spacing w:after="40"/>
              <w:ind w:right="546"/>
              <w:jc w:val="right"/>
              <w:rPr>
                <w:rFonts w:ascii="Arial" w:hAnsi="Arial" w:cs="Arial"/>
                <w:kern w:val="2"/>
                <w:sz w:val="18"/>
                <w:szCs w:val="18"/>
              </w:rPr>
            </w:pPr>
            <w:r>
              <w:rPr>
                <w:rFonts w:ascii="Arial" w:hAnsi="Arial" w:cs="Arial"/>
                <w:kern w:val="2"/>
                <w:sz w:val="18"/>
                <w:szCs w:val="18"/>
              </w:rPr>
              <w:t>$2,000,000</w:t>
            </w:r>
          </w:p>
        </w:tc>
        <w:tc>
          <w:tcPr>
            <w:tcW w:w="2061" w:type="dxa"/>
          </w:tcPr>
          <w:p w14:paraId="2962DF31" w14:textId="55FB13C4" w:rsidR="00E3307A" w:rsidRPr="00E3307A" w:rsidRDefault="006670E9" w:rsidP="00E3307A">
            <w:pPr>
              <w:spacing w:after="40"/>
              <w:ind w:right="734"/>
              <w:jc w:val="right"/>
              <w:rPr>
                <w:rFonts w:ascii="Arial" w:hAnsi="Arial" w:cs="Arial"/>
                <w:bCs/>
                <w:kern w:val="2"/>
                <w:sz w:val="18"/>
                <w:szCs w:val="18"/>
              </w:rPr>
            </w:pPr>
            <w:r>
              <w:rPr>
                <w:rFonts w:ascii="Arial" w:hAnsi="Arial" w:cs="Arial"/>
                <w:bCs/>
                <w:kern w:val="2"/>
                <w:sz w:val="18"/>
                <w:szCs w:val="18"/>
              </w:rPr>
              <w:t>$1,260</w:t>
            </w:r>
          </w:p>
        </w:tc>
      </w:tr>
      <w:tr w:rsidR="00E3307A" w:rsidRPr="00625200" w14:paraId="5CC00C89" w14:textId="77777777" w:rsidTr="006670E9">
        <w:trPr>
          <w:gridAfter w:val="1"/>
          <w:wAfter w:w="1653" w:type="dxa"/>
          <w:cantSplit/>
        </w:trPr>
        <w:tc>
          <w:tcPr>
            <w:tcW w:w="2073" w:type="dxa"/>
          </w:tcPr>
          <w:p w14:paraId="30452115" w14:textId="34908483" w:rsidR="00E3307A" w:rsidRPr="00625200" w:rsidRDefault="00103DF6" w:rsidP="00E3307A">
            <w:pPr>
              <w:spacing w:after="40"/>
              <w:ind w:right="546"/>
              <w:jc w:val="right"/>
              <w:rPr>
                <w:rFonts w:ascii="Arial" w:hAnsi="Arial" w:cs="Arial"/>
                <w:kern w:val="2"/>
                <w:sz w:val="18"/>
                <w:szCs w:val="18"/>
              </w:rPr>
            </w:pPr>
            <w:r>
              <w:rPr>
                <w:rFonts w:ascii="Arial" w:hAnsi="Arial" w:cs="Arial"/>
                <w:kern w:val="2"/>
                <w:sz w:val="18"/>
                <w:szCs w:val="18"/>
              </w:rPr>
              <w:t>$3,000,000</w:t>
            </w:r>
          </w:p>
        </w:tc>
        <w:tc>
          <w:tcPr>
            <w:tcW w:w="2061" w:type="dxa"/>
          </w:tcPr>
          <w:p w14:paraId="6712F14D" w14:textId="75C3D12E" w:rsidR="00E3307A" w:rsidRPr="00E3307A" w:rsidRDefault="006670E9" w:rsidP="00E3307A">
            <w:pPr>
              <w:spacing w:after="40"/>
              <w:ind w:right="734"/>
              <w:jc w:val="right"/>
              <w:rPr>
                <w:rFonts w:ascii="Arial" w:hAnsi="Arial" w:cs="Arial"/>
                <w:bCs/>
                <w:kern w:val="2"/>
                <w:sz w:val="18"/>
                <w:szCs w:val="18"/>
              </w:rPr>
            </w:pPr>
            <w:r>
              <w:rPr>
                <w:rFonts w:ascii="Arial" w:hAnsi="Arial" w:cs="Arial"/>
                <w:bCs/>
                <w:kern w:val="2"/>
                <w:sz w:val="18"/>
                <w:szCs w:val="18"/>
              </w:rPr>
              <w:t>$1,950</w:t>
            </w:r>
          </w:p>
        </w:tc>
      </w:tr>
      <w:tr w:rsidR="00E3307A" w:rsidRPr="00625200" w14:paraId="100CCBEB" w14:textId="77777777" w:rsidTr="006670E9">
        <w:trPr>
          <w:gridAfter w:val="1"/>
          <w:wAfter w:w="1653" w:type="dxa"/>
          <w:cantSplit/>
        </w:trPr>
        <w:tc>
          <w:tcPr>
            <w:tcW w:w="2073" w:type="dxa"/>
          </w:tcPr>
          <w:p w14:paraId="38EEF272" w14:textId="5B4E2A30" w:rsidR="00E3307A" w:rsidRPr="00625200" w:rsidRDefault="00103DF6" w:rsidP="00E3307A">
            <w:pPr>
              <w:spacing w:after="40"/>
              <w:ind w:right="546"/>
              <w:jc w:val="right"/>
              <w:rPr>
                <w:rFonts w:ascii="Arial" w:hAnsi="Arial" w:cs="Arial"/>
                <w:kern w:val="2"/>
                <w:sz w:val="18"/>
                <w:szCs w:val="18"/>
              </w:rPr>
            </w:pPr>
            <w:r>
              <w:rPr>
                <w:rFonts w:ascii="Arial" w:hAnsi="Arial" w:cs="Arial"/>
                <w:kern w:val="2"/>
                <w:sz w:val="18"/>
                <w:szCs w:val="18"/>
              </w:rPr>
              <w:t>$4,000,000</w:t>
            </w:r>
          </w:p>
        </w:tc>
        <w:tc>
          <w:tcPr>
            <w:tcW w:w="2061" w:type="dxa"/>
          </w:tcPr>
          <w:p w14:paraId="41D7D4D5" w14:textId="7B2BA804" w:rsidR="00E3307A" w:rsidRPr="00E3307A" w:rsidRDefault="006670E9" w:rsidP="00E3307A">
            <w:pPr>
              <w:spacing w:after="40"/>
              <w:ind w:right="734"/>
              <w:jc w:val="right"/>
              <w:rPr>
                <w:rFonts w:ascii="Arial" w:hAnsi="Arial" w:cs="Arial"/>
                <w:bCs/>
                <w:kern w:val="2"/>
                <w:sz w:val="18"/>
                <w:szCs w:val="18"/>
              </w:rPr>
            </w:pPr>
            <w:r w:rsidRPr="00E3307A">
              <w:rPr>
                <w:rFonts w:ascii="Arial" w:hAnsi="Arial" w:cs="Arial"/>
                <w:bCs/>
                <w:kern w:val="2"/>
                <w:sz w:val="18"/>
                <w:szCs w:val="18"/>
              </w:rPr>
              <w:t>$</w:t>
            </w:r>
            <w:r>
              <w:rPr>
                <w:rFonts w:ascii="Arial" w:hAnsi="Arial" w:cs="Arial"/>
                <w:bCs/>
                <w:kern w:val="2"/>
                <w:sz w:val="18"/>
                <w:szCs w:val="18"/>
              </w:rPr>
              <w:t>2,</w:t>
            </w:r>
            <w:r w:rsidRPr="00E3307A">
              <w:rPr>
                <w:rFonts w:ascii="Arial" w:hAnsi="Arial" w:cs="Arial"/>
                <w:bCs/>
                <w:kern w:val="2"/>
                <w:sz w:val="18"/>
                <w:szCs w:val="18"/>
              </w:rPr>
              <w:t>675</w:t>
            </w:r>
          </w:p>
        </w:tc>
      </w:tr>
      <w:tr w:rsidR="00E3307A" w:rsidRPr="00625200" w14:paraId="1664F2F4" w14:textId="77777777" w:rsidTr="006670E9">
        <w:trPr>
          <w:gridAfter w:val="1"/>
          <w:wAfter w:w="1653" w:type="dxa"/>
        </w:trPr>
        <w:tc>
          <w:tcPr>
            <w:tcW w:w="2073" w:type="dxa"/>
          </w:tcPr>
          <w:p w14:paraId="43166C75" w14:textId="7B1B1A88" w:rsidR="00E3307A" w:rsidRPr="00625200" w:rsidRDefault="00E3307A" w:rsidP="00E3307A">
            <w:pPr>
              <w:spacing w:after="40"/>
              <w:ind w:right="546"/>
              <w:jc w:val="right"/>
              <w:rPr>
                <w:rFonts w:ascii="Arial" w:hAnsi="Arial" w:cs="Arial"/>
                <w:kern w:val="2"/>
                <w:sz w:val="18"/>
                <w:szCs w:val="18"/>
              </w:rPr>
            </w:pPr>
            <w:r w:rsidRPr="00625200">
              <w:rPr>
                <w:rFonts w:ascii="Arial" w:hAnsi="Arial" w:cs="Arial"/>
                <w:kern w:val="2"/>
                <w:sz w:val="18"/>
                <w:szCs w:val="18"/>
              </w:rPr>
              <w:t>$</w:t>
            </w:r>
            <w:r>
              <w:rPr>
                <w:rFonts w:ascii="Arial" w:hAnsi="Arial" w:cs="Arial"/>
                <w:kern w:val="2"/>
                <w:sz w:val="18"/>
                <w:szCs w:val="18"/>
              </w:rPr>
              <w:t>5</w:t>
            </w:r>
            <w:r w:rsidRPr="00625200">
              <w:rPr>
                <w:rFonts w:ascii="Arial" w:hAnsi="Arial" w:cs="Arial"/>
                <w:kern w:val="2"/>
                <w:sz w:val="18"/>
                <w:szCs w:val="18"/>
              </w:rPr>
              <w:t>,000</w:t>
            </w:r>
            <w:r>
              <w:rPr>
                <w:rFonts w:ascii="Arial" w:hAnsi="Arial" w:cs="Arial"/>
                <w:kern w:val="2"/>
                <w:sz w:val="18"/>
                <w:szCs w:val="18"/>
              </w:rPr>
              <w:t>,000</w:t>
            </w:r>
          </w:p>
        </w:tc>
        <w:tc>
          <w:tcPr>
            <w:tcW w:w="2061" w:type="dxa"/>
          </w:tcPr>
          <w:p w14:paraId="31AB5EEA" w14:textId="361940FC" w:rsidR="00E3307A" w:rsidRPr="00E3307A" w:rsidRDefault="006670E9" w:rsidP="00E3307A">
            <w:pPr>
              <w:spacing w:after="40"/>
              <w:ind w:right="734"/>
              <w:jc w:val="right"/>
              <w:rPr>
                <w:rFonts w:ascii="Arial" w:hAnsi="Arial" w:cs="Arial"/>
                <w:bCs/>
                <w:kern w:val="2"/>
                <w:sz w:val="18"/>
                <w:szCs w:val="18"/>
              </w:rPr>
            </w:pPr>
            <w:r>
              <w:rPr>
                <w:rFonts w:ascii="Arial" w:hAnsi="Arial" w:cs="Arial"/>
                <w:bCs/>
                <w:kern w:val="2"/>
                <w:sz w:val="18"/>
                <w:szCs w:val="18"/>
              </w:rPr>
              <w:t>$3,575</w:t>
            </w:r>
          </w:p>
        </w:tc>
      </w:tr>
      <w:tr w:rsidR="00103DF6" w:rsidRPr="00625200" w14:paraId="2749CB5A" w14:textId="77777777" w:rsidTr="006670E9">
        <w:tc>
          <w:tcPr>
            <w:tcW w:w="2073" w:type="dxa"/>
          </w:tcPr>
          <w:p w14:paraId="775935FD" w14:textId="1633844F" w:rsidR="00103DF6" w:rsidRPr="00625200" w:rsidRDefault="00103DF6" w:rsidP="00103DF6">
            <w:pPr>
              <w:tabs>
                <w:tab w:val="right" w:pos="1471"/>
                <w:tab w:val="right" w:pos="1599"/>
              </w:tabs>
              <w:spacing w:after="40"/>
              <w:jc w:val="left"/>
              <w:rPr>
                <w:rFonts w:ascii="Arial" w:hAnsi="Arial" w:cs="Arial"/>
                <w:kern w:val="2"/>
                <w:sz w:val="18"/>
                <w:szCs w:val="18"/>
              </w:rPr>
            </w:pPr>
            <w:r>
              <w:rPr>
                <w:rFonts w:ascii="Arial" w:hAnsi="Arial" w:cs="Arial"/>
                <w:kern w:val="2"/>
                <w:sz w:val="18"/>
                <w:szCs w:val="18"/>
              </w:rPr>
              <w:tab/>
            </w:r>
            <w:r w:rsidRPr="00625200">
              <w:rPr>
                <w:rFonts w:ascii="Arial" w:hAnsi="Arial" w:cs="Arial"/>
                <w:kern w:val="2"/>
                <w:sz w:val="18"/>
                <w:szCs w:val="18"/>
              </w:rPr>
              <w:t>$</w:t>
            </w:r>
            <w:r>
              <w:rPr>
                <w:rFonts w:ascii="Arial" w:hAnsi="Arial" w:cs="Arial"/>
                <w:kern w:val="2"/>
                <w:sz w:val="18"/>
                <w:szCs w:val="18"/>
              </w:rPr>
              <w:t>5</w:t>
            </w:r>
            <w:r w:rsidRPr="00625200">
              <w:rPr>
                <w:rFonts w:ascii="Arial" w:hAnsi="Arial" w:cs="Arial"/>
                <w:kern w:val="2"/>
                <w:sz w:val="18"/>
                <w:szCs w:val="18"/>
              </w:rPr>
              <w:t>,000</w:t>
            </w:r>
            <w:r>
              <w:rPr>
                <w:rFonts w:ascii="Arial" w:hAnsi="Arial" w:cs="Arial"/>
                <w:kern w:val="2"/>
                <w:sz w:val="18"/>
                <w:szCs w:val="18"/>
              </w:rPr>
              <w:t xml:space="preserve">,000 </w:t>
            </w:r>
            <w:r>
              <w:rPr>
                <w:rFonts w:ascii="Arial" w:hAnsi="Arial" w:cs="Arial"/>
                <w:kern w:val="2"/>
                <w:sz w:val="18"/>
                <w:szCs w:val="18"/>
              </w:rPr>
              <w:tab/>
              <w:t>+</w:t>
            </w:r>
          </w:p>
        </w:tc>
        <w:tc>
          <w:tcPr>
            <w:tcW w:w="3714" w:type="dxa"/>
            <w:gridSpan w:val="2"/>
          </w:tcPr>
          <w:p w14:paraId="347929EA" w14:textId="71B1236D" w:rsidR="00103DF6" w:rsidRPr="00E3307A" w:rsidRDefault="006670E9" w:rsidP="006670E9">
            <w:pPr>
              <w:spacing w:after="40"/>
              <w:jc w:val="left"/>
              <w:rPr>
                <w:rFonts w:ascii="Arial" w:hAnsi="Arial" w:cs="Arial"/>
                <w:bCs/>
                <w:kern w:val="2"/>
                <w:sz w:val="18"/>
                <w:szCs w:val="18"/>
              </w:rPr>
            </w:pPr>
            <w:r>
              <w:rPr>
                <w:rFonts w:ascii="Arial" w:hAnsi="Arial" w:cs="Arial"/>
                <w:bCs/>
                <w:kern w:val="2"/>
                <w:sz w:val="18"/>
                <w:szCs w:val="18"/>
              </w:rPr>
              <w:t>$3,575 plus the Basic Rate applicable to the Amount of Insurance in excess of $5,000,000</w:t>
            </w:r>
          </w:p>
        </w:tc>
      </w:tr>
      <w:tr w:rsidR="006670E9" w:rsidRPr="00625200" w14:paraId="38BD71C1" w14:textId="77777777" w:rsidTr="006670E9">
        <w:tc>
          <w:tcPr>
            <w:tcW w:w="2073" w:type="dxa"/>
          </w:tcPr>
          <w:p w14:paraId="4BDE905C" w14:textId="77777777" w:rsidR="006670E9" w:rsidRDefault="006670E9" w:rsidP="00103DF6">
            <w:pPr>
              <w:tabs>
                <w:tab w:val="right" w:pos="1471"/>
                <w:tab w:val="right" w:pos="1599"/>
              </w:tabs>
              <w:spacing w:after="40"/>
              <w:jc w:val="left"/>
              <w:rPr>
                <w:rFonts w:ascii="Arial" w:hAnsi="Arial" w:cs="Arial"/>
                <w:kern w:val="2"/>
                <w:sz w:val="18"/>
                <w:szCs w:val="18"/>
              </w:rPr>
            </w:pPr>
          </w:p>
        </w:tc>
        <w:tc>
          <w:tcPr>
            <w:tcW w:w="3714" w:type="dxa"/>
            <w:gridSpan w:val="2"/>
          </w:tcPr>
          <w:p w14:paraId="3454EAB8" w14:textId="77777777" w:rsidR="006670E9" w:rsidRDefault="006670E9" w:rsidP="006670E9">
            <w:pPr>
              <w:spacing w:after="40"/>
              <w:jc w:val="left"/>
              <w:rPr>
                <w:rFonts w:ascii="Arial" w:hAnsi="Arial" w:cs="Arial"/>
                <w:bCs/>
                <w:kern w:val="2"/>
                <w:sz w:val="18"/>
                <w:szCs w:val="18"/>
              </w:rPr>
            </w:pPr>
          </w:p>
        </w:tc>
      </w:tr>
    </w:tbl>
    <w:p w14:paraId="2EFF8FD6" w14:textId="23B147E4" w:rsidR="00242C7F" w:rsidRDefault="006670E9" w:rsidP="006670E9">
      <w:pPr>
        <w:pStyle w:val="Heading4"/>
        <w:numPr>
          <w:ilvl w:val="0"/>
          <w:numId w:val="0"/>
        </w:numPr>
        <w:ind w:left="1440"/>
      </w:pPr>
      <w:r>
        <w:t>The charges set forth above apply only when:</w:t>
      </w:r>
    </w:p>
    <w:p w14:paraId="298D7B2D" w14:textId="25A5EEA9" w:rsidR="006670E9" w:rsidRDefault="00695EA4" w:rsidP="006670E9">
      <w:pPr>
        <w:pStyle w:val="Heading4"/>
        <w:rPr>
          <w:bCs/>
        </w:rPr>
      </w:pPr>
      <w:r>
        <w:rPr>
          <w:bCs/>
        </w:rPr>
        <w:t xml:space="preserve">the </w:t>
      </w:r>
      <w:r w:rsidR="006670E9">
        <w:rPr>
          <w:bCs/>
        </w:rPr>
        <w:t>loan insured is secured by a mortgage on residential property; and</w:t>
      </w:r>
    </w:p>
    <w:p w14:paraId="09E1ED9D" w14:textId="43CF44C4" w:rsidR="006670E9" w:rsidRPr="00695EA4" w:rsidRDefault="00695EA4" w:rsidP="00695EA4">
      <w:pPr>
        <w:pStyle w:val="Heading4"/>
        <w:rPr>
          <w:bCs/>
        </w:rPr>
      </w:pPr>
      <w:r w:rsidRPr="00695EA4">
        <w:rPr>
          <w:bCs/>
        </w:rPr>
        <w:t xml:space="preserve">the </w:t>
      </w:r>
      <w:r w:rsidR="006670E9" w:rsidRPr="00695EA4">
        <w:rPr>
          <w:bCs/>
        </w:rPr>
        <w:t>proceeds of the loan insured are used to refinance an existing loan secured by the same property; and</w:t>
      </w:r>
    </w:p>
    <w:p w14:paraId="72BCCD64" w14:textId="4C75E461" w:rsidR="006670E9" w:rsidRPr="00695EA4" w:rsidRDefault="00695EA4" w:rsidP="00695EA4">
      <w:pPr>
        <w:pStyle w:val="Heading4"/>
        <w:rPr>
          <w:bCs/>
        </w:rPr>
      </w:pPr>
      <w:r w:rsidRPr="00695EA4">
        <w:rPr>
          <w:bCs/>
        </w:rPr>
        <w:t xml:space="preserve">the </w:t>
      </w:r>
      <w:r w:rsidR="006670E9" w:rsidRPr="00695EA4">
        <w:rPr>
          <w:bCs/>
        </w:rPr>
        <w:t>loan insured is not a construction loan; and</w:t>
      </w:r>
    </w:p>
    <w:p w14:paraId="2A8D4511" w14:textId="5BB9F946" w:rsidR="006670E9" w:rsidRPr="00695EA4" w:rsidRDefault="00695EA4" w:rsidP="00695EA4">
      <w:pPr>
        <w:pStyle w:val="Heading4"/>
        <w:rPr>
          <w:bCs/>
        </w:rPr>
      </w:pPr>
      <w:r w:rsidRPr="00695EA4">
        <w:rPr>
          <w:bCs/>
        </w:rPr>
        <w:t xml:space="preserve">the </w:t>
      </w:r>
      <w:r w:rsidR="006670E9" w:rsidRPr="00695EA4">
        <w:rPr>
          <w:bCs/>
        </w:rPr>
        <w:t xml:space="preserve">policy recites exceptions for CC&amp;Rs, easements, minerals, mineral </w:t>
      </w:r>
      <w:r w:rsidRPr="00695EA4">
        <w:rPr>
          <w:bCs/>
        </w:rPr>
        <w:t>rights</w:t>
      </w:r>
      <w:r w:rsidR="006670E9" w:rsidRPr="00695EA4">
        <w:rPr>
          <w:bCs/>
        </w:rPr>
        <w:t>, and survey matters; and</w:t>
      </w:r>
    </w:p>
    <w:p w14:paraId="1EC3761C" w14:textId="3F543400" w:rsidR="00695EA4" w:rsidRPr="00695EA4" w:rsidRDefault="00695EA4" w:rsidP="00695EA4">
      <w:pPr>
        <w:pStyle w:val="Heading4"/>
        <w:rPr>
          <w:bCs/>
        </w:rPr>
      </w:pPr>
      <w:r w:rsidRPr="00695EA4">
        <w:rPr>
          <w:bCs/>
        </w:rPr>
        <w:t xml:space="preserve">the policy is not issued concurrently with an Owner’s Policy; and </w:t>
      </w:r>
    </w:p>
    <w:p w14:paraId="1BE2C22D" w14:textId="5F48457D" w:rsidR="00695EA4" w:rsidRPr="00695EA4" w:rsidRDefault="00695EA4" w:rsidP="00695EA4">
      <w:pPr>
        <w:pStyle w:val="Heading4"/>
        <w:rPr>
          <w:bCs/>
        </w:rPr>
      </w:pPr>
      <w:r w:rsidRPr="00695EA4">
        <w:rPr>
          <w:bCs/>
        </w:rPr>
        <w:t>the policy is based on a Limited Search; and</w:t>
      </w:r>
    </w:p>
    <w:p w14:paraId="7638B266" w14:textId="057D9F11" w:rsidR="00695EA4" w:rsidRPr="00695EA4" w:rsidRDefault="00695EA4" w:rsidP="00695EA4">
      <w:pPr>
        <w:pStyle w:val="Heading4"/>
        <w:rPr>
          <w:bCs/>
        </w:rPr>
      </w:pPr>
      <w:r w:rsidRPr="00695EA4">
        <w:rPr>
          <w:bCs/>
        </w:rPr>
        <w:t>the agent, attorney, or title company issuing the policy have the express authorization of the Company to use the Simplified Refinance Rate.</w:t>
      </w:r>
    </w:p>
    <w:p w14:paraId="3FAE41D3" w14:textId="5F3BDB48" w:rsidR="0032556D" w:rsidRDefault="0032556D" w:rsidP="001A4959">
      <w:pPr>
        <w:pStyle w:val="Heading3"/>
      </w:pPr>
      <w:bookmarkStart w:id="22" w:name="_Toc138852526"/>
      <w:r>
        <w:t>Simultaneous</w:t>
      </w:r>
      <w:r w:rsidR="00695EA4">
        <w:t xml:space="preserve"> Issue</w:t>
      </w:r>
      <w:r>
        <w:t xml:space="preserve"> Rate</w:t>
      </w:r>
      <w:bookmarkEnd w:id="22"/>
    </w:p>
    <w:p w14:paraId="432B4523" w14:textId="08770E61" w:rsidR="00880459" w:rsidRPr="006834AB" w:rsidRDefault="00695EA4" w:rsidP="001A4959">
      <w:pPr>
        <w:pStyle w:val="Heading4"/>
        <w:rPr>
          <w:b/>
        </w:rPr>
      </w:pPr>
      <w:r>
        <w:rPr>
          <w:b/>
        </w:rPr>
        <w:t>Simultaneous Issue</w:t>
      </w:r>
    </w:p>
    <w:p w14:paraId="6E082774" w14:textId="7A8DC952" w:rsidR="00880459" w:rsidRDefault="00880459" w:rsidP="001A4959">
      <w:pPr>
        <w:pStyle w:val="Heading5"/>
        <w:numPr>
          <w:ilvl w:val="0"/>
          <w:numId w:val="0"/>
        </w:numPr>
        <w:ind w:left="2160"/>
      </w:pPr>
      <w:r>
        <w:t xml:space="preserve">The </w:t>
      </w:r>
      <w:r w:rsidR="0020234C">
        <w:t>Simultaneous Rate</w:t>
      </w:r>
      <w:r>
        <w:t xml:space="preserve"> shall apply to</w:t>
      </w:r>
      <w:r w:rsidR="00695EA4">
        <w:t xml:space="preserve"> one or more</w:t>
      </w:r>
      <w:r>
        <w:t xml:space="preserve"> Loan </w:t>
      </w:r>
      <w:r w:rsidR="00695EA4">
        <w:t xml:space="preserve">or Leasehold Loan </w:t>
      </w:r>
      <w:r>
        <w:t>Policies issued concurrently with an Owner’s Policy</w:t>
      </w:r>
      <w:r w:rsidR="00695EA4">
        <w:t>, Leasehold Owner’s</w:t>
      </w:r>
      <w:r w:rsidR="00342913">
        <w:t>,</w:t>
      </w:r>
      <w:r w:rsidR="00695EA4">
        <w:t xml:space="preserve"> or Loan Policy</w:t>
      </w:r>
      <w:r>
        <w:t xml:space="preserve"> covering the same Land and bearing the same Effective Date,</w:t>
      </w:r>
      <w:r w:rsidR="00342913">
        <w:t xml:space="preserve"> provided the mortgage lien executed by the mortgagor is for the lien </w:t>
      </w:r>
      <w:r w:rsidR="002B3816">
        <w:t xml:space="preserve">on </w:t>
      </w:r>
      <w:r w:rsidR="00342913">
        <w:t>one or more mortgages executed by the Insured on the policy and recorded simultaneously with the insured instruments.</w:t>
      </w:r>
    </w:p>
    <w:p w14:paraId="391BF1FD" w14:textId="6FE90EB3" w:rsidR="00320CEB" w:rsidRPr="00320CEB" w:rsidRDefault="00320CEB" w:rsidP="001A4959">
      <w:pPr>
        <w:pStyle w:val="Heading4"/>
        <w:numPr>
          <w:ilvl w:val="2"/>
          <w:numId w:val="0"/>
        </w:numPr>
        <w:ind w:left="2160"/>
      </w:pPr>
      <w:r>
        <w:t>The rate for the Loan Policy or Loan Policies simultaneously issued will be $</w:t>
      </w:r>
      <w:r w:rsidR="002B3816">
        <w:t>4</w:t>
      </w:r>
      <w:r w:rsidR="2850B024">
        <w:t>50</w:t>
      </w:r>
      <w:r>
        <w:t xml:space="preserve"> for a Residential Property and $</w:t>
      </w:r>
      <w:r w:rsidR="2E5DA6A4">
        <w:t>750</w:t>
      </w:r>
      <w:r>
        <w:t xml:space="preserve"> for Non-Residential Property. The </w:t>
      </w:r>
      <w:r w:rsidR="0020234C">
        <w:t xml:space="preserve">Simultaneous Rate </w:t>
      </w:r>
      <w:r>
        <w:t xml:space="preserve">shall apply up to an Amount of Insurance not in excess of the Owner’s Policy, or the loan amount insuring a senior lien if no Owner’s Policy is being issued. If the Loan or Leasehold Policy or the cumulative amount of multiple policies exceeds the amount of the Owner’s Policy, the charge for such additional insurance shall be at the </w:t>
      </w:r>
      <w:r w:rsidR="000206E9">
        <w:t>Original Policy Rat</w:t>
      </w:r>
      <w:r>
        <w:t xml:space="preserve">e as set forth in Section II, </w:t>
      </w:r>
      <w:r w:rsidR="000206E9">
        <w:t xml:space="preserve">paragraph </w:t>
      </w:r>
      <w:r>
        <w:t xml:space="preserve">A. </w:t>
      </w:r>
    </w:p>
    <w:p w14:paraId="001F4EBB" w14:textId="6F5AE6D4" w:rsidR="00320CEB" w:rsidRDefault="00320CEB" w:rsidP="002B3816">
      <w:pPr>
        <w:pStyle w:val="Heading4"/>
        <w:numPr>
          <w:ilvl w:val="0"/>
          <w:numId w:val="0"/>
        </w:numPr>
        <w:ind w:left="2160"/>
      </w:pPr>
      <w:r w:rsidRPr="00320CEB">
        <w:t>In all cases, the Owner’s Policy, if issued, shall be for the full market</w:t>
      </w:r>
      <w:r w:rsidR="009451E7">
        <w:t xml:space="preserve"> value</w:t>
      </w:r>
      <w:r w:rsidRPr="00320CEB">
        <w:t xml:space="preserve"> of the premises.</w:t>
      </w:r>
      <w:r>
        <w:t xml:space="preserve"> </w:t>
      </w:r>
      <w:r w:rsidRPr="00320CEB">
        <w:t>The title must be certified down to a date</w:t>
      </w:r>
      <w:r>
        <w:t>,</w:t>
      </w:r>
      <w:r w:rsidRPr="00320CEB">
        <w:t xml:space="preserve"> which will</w:t>
      </w:r>
      <w:r>
        <w:t xml:space="preserve"> be</w:t>
      </w:r>
      <w:r w:rsidRPr="00320CEB">
        <w:t xml:space="preserve"> the filing for record of all instruments creating the interest(s) being insured.</w:t>
      </w:r>
      <w:r>
        <w:t xml:space="preserve"> </w:t>
      </w:r>
      <w:r w:rsidRPr="00320CEB">
        <w:t>The Owner’s Policy must show any mortgage as an exception under Schedule B</w:t>
      </w:r>
      <w:r>
        <w:t>.</w:t>
      </w:r>
    </w:p>
    <w:p w14:paraId="24C8679D" w14:textId="073286DA" w:rsidR="002B3816" w:rsidRPr="006834AB" w:rsidRDefault="002B3816" w:rsidP="00E4385C">
      <w:pPr>
        <w:pStyle w:val="Heading4"/>
        <w:keepNext/>
        <w:rPr>
          <w:b/>
        </w:rPr>
      </w:pPr>
      <w:r>
        <w:rPr>
          <w:b/>
        </w:rPr>
        <w:lastRenderedPageBreak/>
        <w:t>Non-Simultaneous Issue Loan Policy for Non-Residential Loans</w:t>
      </w:r>
    </w:p>
    <w:p w14:paraId="373BAF67" w14:textId="3E18D931" w:rsidR="002B3816" w:rsidRDefault="002B3816" w:rsidP="002B3816">
      <w:pPr>
        <w:pStyle w:val="Heading4"/>
        <w:numPr>
          <w:ilvl w:val="0"/>
          <w:numId w:val="0"/>
        </w:numPr>
        <w:ind w:left="2160"/>
      </w:pPr>
      <w:r w:rsidRPr="002B3816">
        <w:t>Non-Simultaneous Issue Loan Policy for Non-Residential Loans</w:t>
      </w:r>
      <w:r>
        <w:t xml:space="preserve"> is charged when a Loan or Leasehold Loan Policy</w:t>
      </w:r>
      <w:r w:rsidR="00D27FC3">
        <w:t xml:space="preserve"> is to be issued on non-residential properties when the Mortgage or Mortgages will not be recorded simultaneously with the instrument of conveyance to be insured. The Mortgage or Mortgages to be insured must be recorded no later than 120 days from the date of recordation of the instrument of conveyance to be insured. This rate is applicable only when the same office is issuing both the Owner’s or Leasehold Owner’s Policy, and the Loan or Leasehold Loan Policy, written on the same underwriter’s paper. The cumulative rate for the Loan Policy or Policies is to be charged at 35% of the </w:t>
      </w:r>
      <w:r w:rsidR="00BA392A">
        <w:t xml:space="preserve">Original Rate </w:t>
      </w:r>
      <w:r w:rsidR="00D27FC3">
        <w:t xml:space="preserve">(reissue credit is not available) </w:t>
      </w:r>
      <w:r w:rsidR="00B542ED">
        <w:t>charged for</w:t>
      </w:r>
      <w:r w:rsidR="00D27FC3">
        <w:t xml:space="preserve"> the Owner’s or Leasehold Owner’s Policy, so long as the cumulative rate does not exceed the amount of the Owner’s or Leasehold Owner’s Policy. If the Loan or Leasehold Loan Policy will exceed the amount of the Owner’s Policy, the rate shall be the </w:t>
      </w:r>
      <w:r w:rsidR="00BA392A">
        <w:t>Original Rate</w:t>
      </w:r>
      <w:r w:rsidR="00D27FC3">
        <w:t xml:space="preserve"> or </w:t>
      </w:r>
      <w:r w:rsidR="00BA392A">
        <w:t>Reissue Rate</w:t>
      </w:r>
      <w:r w:rsidR="00D27FC3">
        <w:t xml:space="preserve">, as applicable. The minimum charge for the Loan of Leasehold Loan Policy is $500. If more than one Loan Policy is to be issued, the rate for additional policies shall be calculated at the Simultaneous Issue Rate. If the cumulative amount of the Loan Policies exceeds the Owner’s Policy, </w:t>
      </w:r>
      <w:r w:rsidR="00B542ED">
        <w:t xml:space="preserve">the additional insurance shall be charged at the </w:t>
      </w:r>
      <w:r w:rsidR="00BA392A">
        <w:t>Original Rate</w:t>
      </w:r>
      <w:r w:rsidR="00B542ED">
        <w:t xml:space="preserve"> or </w:t>
      </w:r>
      <w:r w:rsidR="00BA392A">
        <w:t>Reissue Rate</w:t>
      </w:r>
      <w:r w:rsidR="00B542ED">
        <w:t>,</w:t>
      </w:r>
      <w:r w:rsidR="00BA392A">
        <w:t xml:space="preserve"> as</w:t>
      </w:r>
      <w:r w:rsidR="00B542ED">
        <w:t xml:space="preserve"> applicable, in addition to the Simultaneous Issue </w:t>
      </w:r>
      <w:r w:rsidR="0020234C">
        <w:t>Rate</w:t>
      </w:r>
      <w:r w:rsidR="00B542ED">
        <w:t xml:space="preserve">. Endorsements requested in connection with this product shall be charged at 50% of the </w:t>
      </w:r>
      <w:r w:rsidR="00BA392A">
        <w:t>Original Rate</w:t>
      </w:r>
      <w:r w:rsidR="00B542ED">
        <w:t>.</w:t>
      </w:r>
    </w:p>
    <w:p w14:paraId="4C1C0AEA" w14:textId="4A0DA154" w:rsidR="0032556D" w:rsidRDefault="00B542ED" w:rsidP="001A4959">
      <w:pPr>
        <w:pStyle w:val="Heading3"/>
      </w:pPr>
      <w:bookmarkStart w:id="23" w:name="_Toc30012887"/>
      <w:bookmarkStart w:id="24" w:name="_Toc138852527"/>
      <w:r>
        <w:t xml:space="preserve">Residential </w:t>
      </w:r>
      <w:r w:rsidR="0032556D">
        <w:t xml:space="preserve">Bifurcated </w:t>
      </w:r>
      <w:r w:rsidR="00320CEB">
        <w:t xml:space="preserve">Owner’s </w:t>
      </w:r>
      <w:r w:rsidR="0032556D">
        <w:t>and Loan Policy Rate</w:t>
      </w:r>
      <w:bookmarkEnd w:id="23"/>
      <w:bookmarkEnd w:id="24"/>
    </w:p>
    <w:p w14:paraId="6ADB8893" w14:textId="2E095FC5" w:rsidR="0032556D" w:rsidRDefault="0032556D" w:rsidP="001A4959">
      <w:pPr>
        <w:pStyle w:val="Heading4"/>
        <w:numPr>
          <w:ilvl w:val="2"/>
          <w:numId w:val="0"/>
        </w:numPr>
        <w:ind w:left="1440"/>
      </w:pPr>
      <w:r>
        <w:t xml:space="preserve">A Bifurcated </w:t>
      </w:r>
      <w:r w:rsidR="00320CEB">
        <w:t xml:space="preserve">Owner’s </w:t>
      </w:r>
      <w:r>
        <w:t xml:space="preserve">and Loan Policy </w:t>
      </w:r>
      <w:r w:rsidR="0020234C">
        <w:t xml:space="preserve">Rate </w:t>
      </w:r>
      <w:r>
        <w:t xml:space="preserve">shall be charged when a buy/sell transaction is bifurcated. This occurs when the </w:t>
      </w:r>
      <w:r w:rsidR="00202638">
        <w:t>Owner’s Policy</w:t>
      </w:r>
      <w:r>
        <w:t xml:space="preserve"> and Loan Policy are issued by different underwriters authorized to issue title insurance in Wisconsin. </w:t>
      </w:r>
      <w:r w:rsidR="31FF6724">
        <w:t xml:space="preserve">The Bifurcated Loan Policy rate is only available for </w:t>
      </w:r>
      <w:r w:rsidR="262D1636">
        <w:t xml:space="preserve">residential </w:t>
      </w:r>
      <w:r w:rsidR="31FF6724">
        <w:t>Purchase Money Mortgages.</w:t>
      </w:r>
      <w:r w:rsidR="71583494">
        <w:t xml:space="preserve"> </w:t>
      </w:r>
      <w:r w:rsidR="002B7FA1">
        <w:t xml:space="preserve">Non-residential Loan Policies are charged at the </w:t>
      </w:r>
      <w:r w:rsidR="0020234C">
        <w:t>Original Policy Rate</w:t>
      </w:r>
      <w:r w:rsidR="002B7FA1">
        <w:t xml:space="preserve"> as set forth in Section II, paragraph A, or at the Reissue Rate, if applicable.</w:t>
      </w:r>
    </w:p>
    <w:p w14:paraId="03136844" w14:textId="77777777" w:rsidR="0032556D" w:rsidRPr="00017D16" w:rsidRDefault="00202638" w:rsidP="001A4959">
      <w:pPr>
        <w:pStyle w:val="Heading4"/>
        <w:rPr>
          <w:b/>
        </w:rPr>
      </w:pPr>
      <w:r>
        <w:rPr>
          <w:b/>
        </w:rPr>
        <w:t>Owner’s Policy</w:t>
      </w:r>
    </w:p>
    <w:p w14:paraId="1A93ABBB" w14:textId="2AE82034" w:rsidR="0032556D" w:rsidRDefault="00B94DF7" w:rsidP="001A4959">
      <w:pPr>
        <w:pStyle w:val="Heading5"/>
        <w:numPr>
          <w:ilvl w:val="0"/>
          <w:numId w:val="0"/>
        </w:numPr>
        <w:ind w:left="2160"/>
      </w:pPr>
      <w:r>
        <w:t>Advocus</w:t>
      </w:r>
      <w:r w:rsidR="006834AB">
        <w:t xml:space="preserve">, </w:t>
      </w:r>
      <w:r w:rsidR="0032556D">
        <w:t xml:space="preserve">issuing an </w:t>
      </w:r>
      <w:r w:rsidR="00202638">
        <w:t>Owner’s Policy</w:t>
      </w:r>
      <w:r w:rsidR="0032556D">
        <w:t xml:space="preserve"> in a bifurcated transaction</w:t>
      </w:r>
      <w:r w:rsidR="006834AB">
        <w:t>,</w:t>
      </w:r>
      <w:r w:rsidR="0032556D">
        <w:t xml:space="preserve"> shall charge a title premium at the </w:t>
      </w:r>
      <w:r w:rsidR="002B7FA1">
        <w:t xml:space="preserve">Original Policy Rate </w:t>
      </w:r>
      <w:r w:rsidR="0032556D">
        <w:t>as set forth in Section II, paragraph A</w:t>
      </w:r>
      <w:r w:rsidR="005F2C78">
        <w:t>,</w:t>
      </w:r>
      <w:r w:rsidR="0032556D">
        <w:t xml:space="preserve"> or at the Reissue Rate, if applicable. </w:t>
      </w:r>
    </w:p>
    <w:p w14:paraId="2E2FF32A" w14:textId="77777777" w:rsidR="0032556D" w:rsidRPr="006834AB" w:rsidRDefault="0032556D" w:rsidP="001A4959">
      <w:pPr>
        <w:pStyle w:val="Heading4"/>
        <w:rPr>
          <w:b/>
        </w:rPr>
      </w:pPr>
      <w:r w:rsidRPr="006834AB">
        <w:rPr>
          <w:b/>
        </w:rPr>
        <w:t>Loan Policy</w:t>
      </w:r>
    </w:p>
    <w:p w14:paraId="00904EA7" w14:textId="7135135D" w:rsidR="006834AB" w:rsidRDefault="00B94DF7" w:rsidP="001A4959">
      <w:pPr>
        <w:pStyle w:val="Heading5"/>
        <w:numPr>
          <w:ilvl w:val="3"/>
          <w:numId w:val="0"/>
        </w:numPr>
        <w:ind w:left="2160"/>
      </w:pPr>
      <w:r>
        <w:t>Advocus</w:t>
      </w:r>
      <w:r w:rsidR="006834AB">
        <w:t>, issuing a Loan Policy in a bifurcated transaction for Residential Property, shall charge a title premium of $</w:t>
      </w:r>
      <w:r w:rsidR="440A3DE9">
        <w:t>450</w:t>
      </w:r>
      <w:r w:rsidR="006834AB">
        <w:t xml:space="preserve"> for up to $1,000,000 in liability. An additional premium of </w:t>
      </w:r>
      <w:r w:rsidR="00320CEB">
        <w:t>$</w:t>
      </w:r>
      <w:r w:rsidR="00B542ED">
        <w:t>1</w:t>
      </w:r>
      <w:r w:rsidR="006834AB">
        <w:t xml:space="preserve"> per </w:t>
      </w:r>
      <w:r w:rsidR="00320CEB">
        <w:t>$1,000</w:t>
      </w:r>
      <w:r w:rsidR="006834AB">
        <w:t xml:space="preserve"> </w:t>
      </w:r>
      <w:r w:rsidR="00031C37">
        <w:t>is</w:t>
      </w:r>
      <w:r w:rsidR="006834AB">
        <w:t xml:space="preserve"> charged for any policy in excess of $1,000,000. The Reissue Rate is not applicable to this rate. Any additional Loan Policies to be issued, not exceeding the amount of the purchase, shall be issued in accordance with the Simultaneous Issue Rate. If the aggregate liability of the Loan Policies exceeds the amount of the purchase, </w:t>
      </w:r>
      <w:r w:rsidR="002B7FA1">
        <w:t xml:space="preserve">Original Policy Rates </w:t>
      </w:r>
      <w:r w:rsidR="006834AB">
        <w:t xml:space="preserve">or </w:t>
      </w:r>
      <w:r w:rsidR="002B7FA1">
        <w:t>Reissue Rates</w:t>
      </w:r>
      <w:r w:rsidR="006834AB">
        <w:t>, when applicable, shall apply on the excess liability.</w:t>
      </w:r>
    </w:p>
    <w:p w14:paraId="61E6CBDD" w14:textId="77777777" w:rsidR="0032556D" w:rsidRDefault="002B7FA1" w:rsidP="001A4959">
      <w:pPr>
        <w:pStyle w:val="Heading3"/>
        <w:keepNext/>
      </w:pPr>
      <w:bookmarkStart w:id="25" w:name="_Toc30012889"/>
      <w:bookmarkStart w:id="26" w:name="_Toc138852528"/>
      <w:r>
        <w:t xml:space="preserve">ALTA </w:t>
      </w:r>
      <w:r w:rsidR="00320CEB">
        <w:t xml:space="preserve">Residential Limited Coverage </w:t>
      </w:r>
      <w:r w:rsidR="0032556D">
        <w:t>Junior Loan Policy Rate</w:t>
      </w:r>
      <w:bookmarkEnd w:id="25"/>
      <w:bookmarkEnd w:id="26"/>
    </w:p>
    <w:p w14:paraId="6E27CA4E" w14:textId="2EE6DF2A" w:rsidR="006834AB" w:rsidRPr="006834AB" w:rsidRDefault="00B94DF7" w:rsidP="001A4959">
      <w:pPr>
        <w:pStyle w:val="Heading4"/>
        <w:numPr>
          <w:ilvl w:val="2"/>
          <w:numId w:val="0"/>
        </w:numPr>
        <w:ind w:left="1440"/>
      </w:pPr>
      <w:r>
        <w:t>Advocus</w:t>
      </w:r>
      <w:r w:rsidR="00320CEB">
        <w:t>, issuing an ALTA Residential Limited Coverage Junior Loan Policy</w:t>
      </w:r>
      <w:r w:rsidR="002B7FA1">
        <w:t>,</w:t>
      </w:r>
      <w:r w:rsidR="00320CEB">
        <w:t xml:space="preserve"> shall insure junior loans</w:t>
      </w:r>
      <w:r w:rsidR="00252129">
        <w:t xml:space="preserve">, </w:t>
      </w:r>
      <w:r w:rsidR="00320CEB">
        <w:t>such as home equity lines of credit and second mortgages</w:t>
      </w:r>
      <w:r w:rsidR="00252129">
        <w:t>,</w:t>
      </w:r>
      <w:r w:rsidR="00320CEB">
        <w:t xml:space="preserve"> on Residential property only. The </w:t>
      </w:r>
      <w:r w:rsidR="00BA392A">
        <w:t>Reissue Rate</w:t>
      </w:r>
      <w:r w:rsidR="00320CEB">
        <w:t xml:space="preserve"> may not be used on an ALTA Residential Limited Liability Junior Loan Policy.</w:t>
      </w:r>
      <w:r w:rsidR="002B7FA1">
        <w:t xml:space="preserve"> This policy</w:t>
      </w:r>
      <w:r w:rsidR="00320CEB">
        <w:t xml:space="preserve"> may not be used to insure a junior mortgage that is a Purchase Money Mortgage or to insure a mortgage on an oth</w:t>
      </w:r>
      <w:r w:rsidR="002B7FA1">
        <w:t>erwise lien-free property.</w:t>
      </w:r>
      <w:r w:rsidR="00320CEB">
        <w:t xml:space="preserve"> The rate shall be $1</w:t>
      </w:r>
      <w:r w:rsidR="000206E9">
        <w:t>7</w:t>
      </w:r>
      <w:r w:rsidR="00320CEB">
        <w:t>5 for the first $1</w:t>
      </w:r>
      <w:r w:rsidR="000B46C2">
        <w:t>0</w:t>
      </w:r>
      <w:r w:rsidR="00320CEB">
        <w:t xml:space="preserve">0,000 of insurance and $1 per </w:t>
      </w:r>
      <w:r w:rsidR="00252129">
        <w:t>$1,000</w:t>
      </w:r>
      <w:r w:rsidR="00320CEB">
        <w:t xml:space="preserve"> thereafter.</w:t>
      </w:r>
    </w:p>
    <w:p w14:paraId="0788F731" w14:textId="77777777" w:rsidR="0032556D" w:rsidRDefault="0032556D" w:rsidP="001A4959">
      <w:pPr>
        <w:pStyle w:val="Heading3"/>
      </w:pPr>
      <w:bookmarkStart w:id="27" w:name="_Toc30012890"/>
      <w:bookmarkStart w:id="28" w:name="_Toc138852529"/>
      <w:r>
        <w:t xml:space="preserve">Master </w:t>
      </w:r>
      <w:r w:rsidR="00202638">
        <w:t>Owner’s Policy</w:t>
      </w:r>
      <w:r>
        <w:t xml:space="preserve"> and Take</w:t>
      </w:r>
      <w:r w:rsidR="00F12EC9">
        <w:t>-</w:t>
      </w:r>
      <w:r>
        <w:t>Off Policy Rate</w:t>
      </w:r>
      <w:bookmarkEnd w:id="27"/>
      <w:bookmarkEnd w:id="28"/>
    </w:p>
    <w:p w14:paraId="2C7FD929" w14:textId="77777777" w:rsidR="0032556D" w:rsidRPr="00017D16" w:rsidRDefault="0032556D" w:rsidP="001A4959">
      <w:pPr>
        <w:pStyle w:val="Heading4"/>
        <w:rPr>
          <w:b/>
        </w:rPr>
      </w:pPr>
      <w:r w:rsidRPr="00017D16">
        <w:rPr>
          <w:b/>
        </w:rPr>
        <w:t xml:space="preserve">Master </w:t>
      </w:r>
      <w:r w:rsidR="00202638">
        <w:rPr>
          <w:b/>
        </w:rPr>
        <w:t>Owner’s Policy</w:t>
      </w:r>
    </w:p>
    <w:p w14:paraId="3FBAC2E0" w14:textId="6B85A5A1" w:rsidR="0032556D" w:rsidRDefault="00B94DF7" w:rsidP="001A4959">
      <w:pPr>
        <w:pStyle w:val="Heading5"/>
        <w:numPr>
          <w:ilvl w:val="3"/>
          <w:numId w:val="0"/>
        </w:numPr>
        <w:ind w:left="2160"/>
      </w:pPr>
      <w:r>
        <w:t>Advocus</w:t>
      </w:r>
      <w:r w:rsidR="00C65AEB">
        <w:t>,</w:t>
      </w:r>
      <w:r w:rsidR="0032556D">
        <w:t xml:space="preserve"> issuing a Master </w:t>
      </w:r>
      <w:r w:rsidR="00202638">
        <w:t>Owner’s Policy</w:t>
      </w:r>
      <w:r w:rsidR="00C65AEB">
        <w:t>,</w:t>
      </w:r>
      <w:r w:rsidR="0032556D">
        <w:t xml:space="preserve"> shall charge a title premium at the Original Policy Rate as set forth in Section II, paragraph A</w:t>
      </w:r>
      <w:r w:rsidR="451A2B03">
        <w:t xml:space="preserve"> or the </w:t>
      </w:r>
      <w:r w:rsidR="19C941AC">
        <w:t>R</w:t>
      </w:r>
      <w:r w:rsidR="451A2B03">
        <w:t xml:space="preserve">eissue </w:t>
      </w:r>
      <w:r w:rsidR="3E5021CB">
        <w:t>R</w:t>
      </w:r>
      <w:r w:rsidR="451A2B03">
        <w:t xml:space="preserve">ate, if </w:t>
      </w:r>
      <w:r w:rsidR="00E4385C">
        <w:t>applicable. The</w:t>
      </w:r>
      <w:r w:rsidR="0032556D">
        <w:t xml:space="preserve"> </w:t>
      </w:r>
      <w:r w:rsidR="00C65AEB">
        <w:t xml:space="preserve">Amount </w:t>
      </w:r>
      <w:r w:rsidR="0032556D">
        <w:t xml:space="preserve">of </w:t>
      </w:r>
      <w:r w:rsidR="00C65AEB">
        <w:t xml:space="preserve">Insurance </w:t>
      </w:r>
      <w:r w:rsidR="0032556D">
        <w:t xml:space="preserve">may be increased by endorsement if the title remains insurable. The additional insurance shall be </w:t>
      </w:r>
      <w:r w:rsidR="252B7C95">
        <w:t>billed</w:t>
      </w:r>
      <w:r w:rsidR="0032556D">
        <w:t xml:space="preserve"> based on the </w:t>
      </w:r>
      <w:r w:rsidR="000B46C2">
        <w:t>Reissue</w:t>
      </w:r>
      <w:r w:rsidR="00252129">
        <w:t xml:space="preserve"> Rate</w:t>
      </w:r>
      <w:r w:rsidR="000B46C2">
        <w:t xml:space="preserve">, beginning at the Amount of Insurance that was previously billed to or on behalf of the </w:t>
      </w:r>
      <w:r w:rsidR="007775F7">
        <w:t>Insured</w:t>
      </w:r>
      <w:r w:rsidR="00C65AEB">
        <w:t>.</w:t>
      </w:r>
      <w:r w:rsidR="7F215106">
        <w:t xml:space="preserve"> </w:t>
      </w:r>
      <w:r w:rsidR="1DCA3D4E">
        <w:t xml:space="preserve">Take-off Policies </w:t>
      </w:r>
      <w:r w:rsidR="32B30231">
        <w:t xml:space="preserve">issued from the increased Master Policy shall be billed at the </w:t>
      </w:r>
      <w:r w:rsidR="465D3C1E">
        <w:t xml:space="preserve">current </w:t>
      </w:r>
      <w:r w:rsidR="32B30231">
        <w:t>take</w:t>
      </w:r>
      <w:r w:rsidR="568CBE3D">
        <w:t>-</w:t>
      </w:r>
      <w:r w:rsidR="32B30231">
        <w:t>off policy rate of $200</w:t>
      </w:r>
      <w:r w:rsidR="0BF1BBDD">
        <w:t xml:space="preserve"> </w:t>
      </w:r>
      <w:r w:rsidR="63A259B5">
        <w:t>for residential, and $400 for non-residential.</w:t>
      </w:r>
    </w:p>
    <w:p w14:paraId="7AD2E210" w14:textId="7634A903" w:rsidR="00252129" w:rsidRDefault="00252129" w:rsidP="001A4959">
      <w:pPr>
        <w:pStyle w:val="Heading5"/>
        <w:numPr>
          <w:ilvl w:val="0"/>
          <w:numId w:val="0"/>
        </w:numPr>
        <w:ind w:left="2160"/>
      </w:pPr>
      <w:r>
        <w:t xml:space="preserve">The Owner’s Master Policy must be issued prior to any Take-Off Policies or commitments on any portion of the real estate and </w:t>
      </w:r>
      <w:r w:rsidR="000206E9">
        <w:t>Master Policy</w:t>
      </w:r>
      <w:r>
        <w:t xml:space="preserve"> must contain the following language:</w:t>
      </w:r>
    </w:p>
    <w:p w14:paraId="07378616" w14:textId="3A091800" w:rsidR="00252129" w:rsidRPr="00252129" w:rsidRDefault="00252129" w:rsidP="001A4959">
      <w:pPr>
        <w:pStyle w:val="StyleBlockTextLeft2After2pt"/>
        <w:spacing w:after="120"/>
      </w:pPr>
      <w:r>
        <w:t xml:space="preserve">It is stipulated that any Owner’s, Loan, Leasehold, Take-Off Policies, or commitments that are issued from this Master Policy shall result in a deduction in the Amount of Insurance for this Master </w:t>
      </w:r>
      <w:r w:rsidR="005B5BC2">
        <w:t>Policy</w:t>
      </w:r>
      <w:r>
        <w:t xml:space="preserve">. Liability under this Master </w:t>
      </w:r>
      <w:r w:rsidR="005B5BC2">
        <w:t xml:space="preserve">Policy </w:t>
      </w:r>
      <w:r>
        <w:t>will be reduced by the cumulative amount of such Take-Off Policies.</w:t>
      </w:r>
    </w:p>
    <w:p w14:paraId="781FC0A5" w14:textId="77777777" w:rsidR="0032556D" w:rsidRPr="00017D16" w:rsidRDefault="0032556D" w:rsidP="001A4959">
      <w:pPr>
        <w:pStyle w:val="Heading4"/>
        <w:keepNext/>
        <w:rPr>
          <w:b/>
        </w:rPr>
      </w:pPr>
      <w:r w:rsidRPr="00017D16">
        <w:rPr>
          <w:b/>
        </w:rPr>
        <w:lastRenderedPageBreak/>
        <w:t>Take</w:t>
      </w:r>
      <w:r w:rsidR="005F2C78">
        <w:rPr>
          <w:b/>
        </w:rPr>
        <w:t>-</w:t>
      </w:r>
      <w:r w:rsidRPr="00017D16">
        <w:rPr>
          <w:b/>
        </w:rPr>
        <w:t>Off Policy</w:t>
      </w:r>
    </w:p>
    <w:p w14:paraId="548F52AB" w14:textId="27E7D5E1" w:rsidR="00252129" w:rsidRDefault="00252129" w:rsidP="6C372643">
      <w:pPr>
        <w:pStyle w:val="Heading5"/>
      </w:pPr>
      <w:r>
        <w:t xml:space="preserve">A “Take-Off” Policy is an Owner’s Policy issued on the sale of a parcel of real estate or condominium unit already issued under a Master Policy underwritten by </w:t>
      </w:r>
      <w:r w:rsidR="00B94DF7">
        <w:t>Advocus</w:t>
      </w:r>
      <w:r>
        <w:t xml:space="preserve">. The rate for the Take-Off Policy </w:t>
      </w:r>
      <w:r w:rsidR="00E4385C">
        <w:t>is $</w:t>
      </w:r>
      <w:r w:rsidR="6E1D7FA3">
        <w:t>200</w:t>
      </w:r>
      <w:r w:rsidR="287E81C7">
        <w:t xml:space="preserve"> for residential and $400 for non-residential. </w:t>
      </w:r>
      <w:r w:rsidR="063C46F0">
        <w:t>Master Policies that have been issued with a Policy Date that precedes the date of this filing, shall continue to use the previously filed rate range of $175,00 to $300.00 for Take-Off Policies</w:t>
      </w:r>
      <w:r w:rsidR="590E6121">
        <w:t xml:space="preserve"> until the </w:t>
      </w:r>
      <w:r w:rsidR="768186C9">
        <w:t xml:space="preserve">original </w:t>
      </w:r>
      <w:r w:rsidR="590E6121">
        <w:t xml:space="preserve">Master Policy has been reduced to zero. </w:t>
      </w:r>
    </w:p>
    <w:p w14:paraId="10C59F72" w14:textId="77777777" w:rsidR="0032556D" w:rsidRPr="006000CB" w:rsidRDefault="0032556D" w:rsidP="006000CB">
      <w:pPr>
        <w:pStyle w:val="Heading3"/>
      </w:pPr>
      <w:bookmarkStart w:id="29" w:name="_Toc138852530"/>
      <w:r w:rsidRPr="00017D16">
        <w:t>Charitable Non-</w:t>
      </w:r>
      <w:r w:rsidR="000E33CF" w:rsidRPr="00017D16">
        <w:t>P</w:t>
      </w:r>
      <w:r w:rsidRPr="00017D16">
        <w:t>rofit Organization Rate</w:t>
      </w:r>
      <w:bookmarkEnd w:id="29"/>
    </w:p>
    <w:p w14:paraId="08829F73" w14:textId="2839066C" w:rsidR="0032556D" w:rsidRDefault="000B46C2" w:rsidP="00E4385C">
      <w:pPr>
        <w:pStyle w:val="Heading5"/>
        <w:numPr>
          <w:ilvl w:val="0"/>
          <w:numId w:val="0"/>
        </w:numPr>
        <w:ind w:left="1440"/>
      </w:pPr>
      <w:r>
        <w:t xml:space="preserve">If the proposed grantor or proposed Insured qualifies as a </w:t>
      </w:r>
      <w:r w:rsidR="00F71CC1">
        <w:t xml:space="preserve">501(c)(3) </w:t>
      </w:r>
      <w:r w:rsidR="005B5BC2">
        <w:t xml:space="preserve">organization </w:t>
      </w:r>
      <w:r w:rsidR="00F71CC1">
        <w:t xml:space="preserve">under the </w:t>
      </w:r>
      <w:r w:rsidR="0032556D">
        <w:t>Internal Revenue Code</w:t>
      </w:r>
      <w:r w:rsidR="00F71CC1">
        <w:t xml:space="preserve">, the premium charged may be for the amount due </w:t>
      </w:r>
      <w:r w:rsidR="00B94DF7">
        <w:t>Advocus</w:t>
      </w:r>
      <w:r w:rsidR="00F71CC1">
        <w:t xml:space="preserve"> under the underwriting split. </w:t>
      </w:r>
      <w:r w:rsidR="00B94DF7">
        <w:t>Advocus</w:t>
      </w:r>
      <w:r w:rsidR="00F71CC1">
        <w:t xml:space="preserve"> shall receive its underwriting fees equal to the underwriting fee it would have received</w:t>
      </w:r>
      <w:r w:rsidR="0032556D">
        <w:t xml:space="preserve">. Agent approval must be obtained from the </w:t>
      </w:r>
      <w:r w:rsidR="00B94DF7">
        <w:t>Advocus</w:t>
      </w:r>
      <w:r w:rsidR="0032556D">
        <w:t xml:space="preserve"> Wisconsin Managing Attorney before the commitment and/or policy can be issued by the agent. </w:t>
      </w:r>
    </w:p>
    <w:p w14:paraId="65EE1BD9" w14:textId="77777777" w:rsidR="009678C8" w:rsidRDefault="009678C8" w:rsidP="001A4959">
      <w:pPr>
        <w:pStyle w:val="Heading3"/>
      </w:pPr>
      <w:bookmarkStart w:id="30" w:name="_Toc30012893"/>
      <w:bookmarkStart w:id="31" w:name="_Toc138852531"/>
      <w:r>
        <w:t>Survey Clearance on Non-Residential Loan Policies up to $5,000,000</w:t>
      </w:r>
      <w:bookmarkEnd w:id="30"/>
      <w:bookmarkEnd w:id="31"/>
    </w:p>
    <w:p w14:paraId="7AAF2FC4" w14:textId="72439C21" w:rsidR="009678C8" w:rsidRPr="009678C8" w:rsidRDefault="009678C8" w:rsidP="001A4959">
      <w:pPr>
        <w:pStyle w:val="Heading5"/>
        <w:numPr>
          <w:ilvl w:val="0"/>
          <w:numId w:val="0"/>
        </w:numPr>
        <w:ind w:left="1440"/>
      </w:pPr>
      <w:r>
        <w:t>When a lender requests survey clearance</w:t>
      </w:r>
      <w:r w:rsidR="00F079F4">
        <w:t>, without a survey,</w:t>
      </w:r>
      <w:r>
        <w:t xml:space="preserve"> on a non-residential Loan Policy, the survey exceptions may be </w:t>
      </w:r>
      <w:r w:rsidR="00F079F4">
        <w:t>deleted</w:t>
      </w:r>
      <w:r>
        <w:t xml:space="preserve"> without a survey </w:t>
      </w:r>
      <w:r w:rsidR="00F079F4">
        <w:t>for a premium</w:t>
      </w:r>
      <w:r>
        <w:t xml:space="preserve"> payment of $</w:t>
      </w:r>
      <w:r w:rsidR="00F079F4">
        <w:t>50</w:t>
      </w:r>
      <w:r>
        <w:t xml:space="preserve">0. This charge applies only to non-residential loans up to $5,000,000 </w:t>
      </w:r>
      <w:r w:rsidR="00F079F4">
        <w:t>of insured risk</w:t>
      </w:r>
      <w:r>
        <w:t>. Survey clearance without a survey is not available if the property is vacant land or new construction.</w:t>
      </w:r>
    </w:p>
    <w:p w14:paraId="7A24A974" w14:textId="4E8F5D26" w:rsidR="009678C8" w:rsidRDefault="009678C8" w:rsidP="001A4959">
      <w:pPr>
        <w:pStyle w:val="Heading3"/>
      </w:pPr>
      <w:bookmarkStart w:id="32" w:name="_Toc30012894"/>
      <w:bookmarkStart w:id="33" w:name="_Toc138852532"/>
      <w:r>
        <w:t>ALTA 9</w:t>
      </w:r>
      <w:r w:rsidR="00F079F4">
        <w:t xml:space="preserve"> or 9.3</w:t>
      </w:r>
      <w:r>
        <w:t xml:space="preserve"> Issuance </w:t>
      </w:r>
      <w:r w:rsidR="00615AE9">
        <w:t xml:space="preserve">and Survey Clearance </w:t>
      </w:r>
      <w:r>
        <w:t>on Non-Residential Loan Policies up to $5,000,000</w:t>
      </w:r>
      <w:bookmarkEnd w:id="32"/>
      <w:r w:rsidR="00615AE9">
        <w:t xml:space="preserve"> of Insured Risk</w:t>
      </w:r>
      <w:bookmarkEnd w:id="33"/>
    </w:p>
    <w:p w14:paraId="2D72D896" w14:textId="7B181F70" w:rsidR="009678C8" w:rsidRPr="009678C8" w:rsidRDefault="009678C8" w:rsidP="001A4959">
      <w:pPr>
        <w:pStyle w:val="Heading5"/>
        <w:numPr>
          <w:ilvl w:val="0"/>
          <w:numId w:val="0"/>
        </w:numPr>
        <w:ind w:left="1440"/>
      </w:pPr>
      <w:r>
        <w:t xml:space="preserve">When a lender requests </w:t>
      </w:r>
      <w:r w:rsidR="00615AE9">
        <w:t xml:space="preserve">survey clearance without a survey, and requests </w:t>
      </w:r>
      <w:r>
        <w:t xml:space="preserve">issuance of </w:t>
      </w:r>
      <w:r w:rsidR="00615AE9">
        <w:t>either the</w:t>
      </w:r>
      <w:r>
        <w:t xml:space="preserve"> ALTA 9 </w:t>
      </w:r>
      <w:r w:rsidR="00615AE9">
        <w:t>or 9.3 Endorsement</w:t>
      </w:r>
      <w:r>
        <w:t xml:space="preserve"> on a non-residential Loan Policy,</w:t>
      </w:r>
      <w:r w:rsidR="00615AE9">
        <w:t xml:space="preserve"> the standard survey exceptions may be deleted and the appropriate endorsement issued upon payment of $600.</w:t>
      </w:r>
      <w:r>
        <w:t xml:space="preserve"> This charge applies only to non-residential loans up to $5,000,000 </w:t>
      </w:r>
      <w:r w:rsidR="00615AE9">
        <w:t>of insured risk</w:t>
      </w:r>
      <w:r>
        <w:t xml:space="preserve">. </w:t>
      </w:r>
    </w:p>
    <w:p w14:paraId="57BDDBF9" w14:textId="082DF19C" w:rsidR="00843F05" w:rsidRDefault="009678C8" w:rsidP="001A4959">
      <w:pPr>
        <w:pStyle w:val="Heading2"/>
      </w:pPr>
      <w:bookmarkStart w:id="34" w:name="_Toc30012895"/>
      <w:bookmarkStart w:id="35" w:name="_Toc138852533"/>
      <w:r>
        <w:t>MISCELLANEOUS CHARGES</w:t>
      </w:r>
      <w:bookmarkEnd w:id="34"/>
      <w:bookmarkEnd w:id="35"/>
    </w:p>
    <w:p w14:paraId="29ACD326" w14:textId="691D887D" w:rsidR="00843F05" w:rsidRDefault="00843F05" w:rsidP="001A4959">
      <w:pPr>
        <w:pStyle w:val="Heading3"/>
      </w:pPr>
      <w:bookmarkStart w:id="36" w:name="_Toc30012896"/>
      <w:bookmarkStart w:id="37" w:name="_Toc138852534"/>
      <w:r>
        <w:t>Additional Parcels or Chain</w:t>
      </w:r>
      <w:bookmarkEnd w:id="36"/>
      <w:r w:rsidR="00AA7194">
        <w:t xml:space="preserve"> of Title Prepared by </w:t>
      </w:r>
      <w:r w:rsidR="00B94DF7">
        <w:t>Advocus</w:t>
      </w:r>
      <w:bookmarkEnd w:id="37"/>
    </w:p>
    <w:p w14:paraId="662D1DA9" w14:textId="6D8C9A0E" w:rsidR="00843F05" w:rsidRDefault="00843F05" w:rsidP="001A4959">
      <w:pPr>
        <w:pStyle w:val="Heading4"/>
        <w:numPr>
          <w:ilvl w:val="0"/>
          <w:numId w:val="0"/>
        </w:numPr>
        <w:ind w:left="1440"/>
      </w:pPr>
      <w:r>
        <w:t xml:space="preserve">In the event </w:t>
      </w:r>
      <w:r w:rsidR="00AA7194">
        <w:t xml:space="preserve">that </w:t>
      </w:r>
      <w:r w:rsidR="00B94DF7">
        <w:t>Advocus</w:t>
      </w:r>
      <w:r w:rsidR="00AA7194">
        <w:t xml:space="preserve"> prepares the search of </w:t>
      </w:r>
      <w:r>
        <w:t>more than one parcel</w:t>
      </w:r>
      <w:r w:rsidR="00AA7194">
        <w:t>,</w:t>
      </w:r>
      <w:r>
        <w:t xml:space="preserve"> or chain of title is involved in the issuance of any policy, </w:t>
      </w:r>
      <w:r w:rsidR="00B94DF7">
        <w:t>Advocus</w:t>
      </w:r>
      <w:r w:rsidR="00AA7194">
        <w:t xml:space="preserve"> </w:t>
      </w:r>
      <w:r>
        <w:t>may charge up to an additional $2</w:t>
      </w:r>
      <w:r w:rsidR="00AA7194">
        <w:t>5</w:t>
      </w:r>
      <w:r>
        <w:t>0 for each additional parcel</w:t>
      </w:r>
      <w:r w:rsidR="00AA7194">
        <w:t xml:space="preserve"> search</w:t>
      </w:r>
      <w:r>
        <w:t xml:space="preserve"> or chain</w:t>
      </w:r>
      <w:r w:rsidR="00DB7FF6">
        <w:t xml:space="preserve"> of title</w:t>
      </w:r>
      <w:r>
        <w:t xml:space="preserve"> for </w:t>
      </w:r>
      <w:r w:rsidR="000E33CF">
        <w:t xml:space="preserve">residential </w:t>
      </w:r>
      <w:r>
        <w:t>policies and up to an additional $500 for each additional parcel</w:t>
      </w:r>
      <w:r w:rsidR="00DB7FF6">
        <w:t xml:space="preserve"> search</w:t>
      </w:r>
      <w:r>
        <w:t xml:space="preserve"> or chain for </w:t>
      </w:r>
      <w:r w:rsidR="000E33CF">
        <w:t xml:space="preserve">non-residential </w:t>
      </w:r>
      <w:r>
        <w:t xml:space="preserve">policies. </w:t>
      </w:r>
      <w:r w:rsidR="00B94DF7">
        <w:t>Advocus</w:t>
      </w:r>
      <w:r>
        <w:t xml:space="preserve"> retains the right to charge additional amounts should any additional parcel or chain search require an unusual amount of work, as determined by </w:t>
      </w:r>
      <w:r w:rsidR="00B94DF7">
        <w:t>Advocus</w:t>
      </w:r>
      <w:r>
        <w:t>.</w:t>
      </w:r>
    </w:p>
    <w:p w14:paraId="6BD7D9D2" w14:textId="77777777" w:rsidR="00843F05" w:rsidRDefault="00843F05" w:rsidP="001A4959">
      <w:pPr>
        <w:pStyle w:val="Heading3"/>
      </w:pPr>
      <w:bookmarkStart w:id="38" w:name="_Toc30012897"/>
      <w:bookmarkStart w:id="39" w:name="_Toc138852535"/>
      <w:r>
        <w:t>Court Proceedings</w:t>
      </w:r>
      <w:bookmarkEnd w:id="38"/>
      <w:bookmarkEnd w:id="39"/>
    </w:p>
    <w:p w14:paraId="52CC500A" w14:textId="6127ECAB" w:rsidR="00843F05" w:rsidRDefault="00843F05" w:rsidP="001A4959">
      <w:pPr>
        <w:pStyle w:val="Heading4"/>
        <w:numPr>
          <w:ilvl w:val="0"/>
          <w:numId w:val="0"/>
        </w:numPr>
        <w:ind w:left="1440"/>
      </w:pPr>
      <w:r>
        <w:t xml:space="preserve">When </w:t>
      </w:r>
      <w:r w:rsidR="00B94DF7">
        <w:t>Advocus</w:t>
      </w:r>
      <w:r>
        <w:t xml:space="preserve"> is required to examine court files from any Federal, State, or Bankruptcy Court in order to complete its title examination, a charge of up to $300 may be assessed.</w:t>
      </w:r>
    </w:p>
    <w:p w14:paraId="6B6A1BB8" w14:textId="537F610D" w:rsidR="00DB7FF6" w:rsidRDefault="00DB7FF6" w:rsidP="00AC1B42">
      <w:pPr>
        <w:pStyle w:val="Heading3"/>
      </w:pPr>
      <w:bookmarkStart w:id="40" w:name="_Toc138852536"/>
      <w:r>
        <w:t>Unusual Risk</w:t>
      </w:r>
      <w:bookmarkEnd w:id="40"/>
    </w:p>
    <w:p w14:paraId="58BB14BA" w14:textId="086A59DB" w:rsidR="00DB7FF6" w:rsidRDefault="00DB7FF6" w:rsidP="00AC1B42">
      <w:pPr>
        <w:pStyle w:val="Heading4"/>
        <w:numPr>
          <w:ilvl w:val="0"/>
          <w:numId w:val="0"/>
        </w:numPr>
        <w:ind w:left="1440"/>
      </w:pPr>
      <w:r>
        <w:t xml:space="preserve">At the discretion of </w:t>
      </w:r>
      <w:r w:rsidR="00B94DF7">
        <w:t>Advocus</w:t>
      </w:r>
      <w:r>
        <w:t>, additional charges may be made when special or unusual circumstances are encountered, extensive title examination</w:t>
      </w:r>
      <w:r w:rsidR="00AC1B42">
        <w:t xml:space="preserve"> is necessary</w:t>
      </w:r>
      <w:r>
        <w:t>, or special services are provided. The additional charges shall be reasonably commensurate with the costs of services rendered, time involved, and other relevant factors. Additional charges shall be agreed to in writing by the parties responsible for payment in advance.</w:t>
      </w:r>
    </w:p>
    <w:p w14:paraId="1E938CF6" w14:textId="0D4239B7" w:rsidR="00DB7FF6" w:rsidRDefault="00DB7FF6" w:rsidP="00AC1B42">
      <w:pPr>
        <w:pStyle w:val="Heading3"/>
      </w:pPr>
      <w:bookmarkStart w:id="41" w:name="_Toc138852537"/>
      <w:r>
        <w:t>Time Share Charge</w:t>
      </w:r>
      <w:bookmarkEnd w:id="41"/>
    </w:p>
    <w:p w14:paraId="40ACC8E5" w14:textId="399DB512" w:rsidR="00DB7FF6" w:rsidRPr="00DB7FF6" w:rsidRDefault="00DB7FF6" w:rsidP="00AC1B42">
      <w:pPr>
        <w:pStyle w:val="Heading4"/>
        <w:numPr>
          <w:ilvl w:val="0"/>
          <w:numId w:val="0"/>
        </w:numPr>
        <w:ind w:left="1440"/>
      </w:pPr>
      <w:r>
        <w:t xml:space="preserve">A flat charge of $300 up to the insured value of $30,000. For values in excess of $30,000, the additional premium shall be charged at the Original Policy Rate </w:t>
      </w:r>
      <w:r w:rsidR="00AC1B42">
        <w:t>as set forth in Section II, Paragraph A.</w:t>
      </w:r>
    </w:p>
    <w:p w14:paraId="55F045AA" w14:textId="77777777" w:rsidR="006000CB" w:rsidRDefault="006000CB">
      <w:pPr>
        <w:spacing w:after="0"/>
        <w:jc w:val="left"/>
        <w:rPr>
          <w:rFonts w:ascii="Arial" w:hAnsi="Arial"/>
          <w:b/>
          <w:smallCaps/>
          <w:sz w:val="18"/>
        </w:rPr>
      </w:pPr>
      <w:bookmarkStart w:id="42" w:name="_Toc30012898"/>
      <w:r>
        <w:br w:type="page"/>
      </w:r>
    </w:p>
    <w:p w14:paraId="03276821" w14:textId="3C8BB01E" w:rsidR="0032556D" w:rsidRDefault="0032556D" w:rsidP="001A4959">
      <w:pPr>
        <w:pStyle w:val="Heading2"/>
      </w:pPr>
      <w:bookmarkStart w:id="43" w:name="_Toc138852538"/>
      <w:r>
        <w:lastRenderedPageBreak/>
        <w:t>ENDORSEMENTS</w:t>
      </w:r>
      <w:bookmarkEnd w:id="42"/>
      <w:bookmarkEnd w:id="43"/>
    </w:p>
    <w:p w14:paraId="3D05AACD" w14:textId="77777777" w:rsidR="00623589" w:rsidRPr="00623589" w:rsidRDefault="00623589" w:rsidP="001A4959">
      <w:pPr>
        <w:pStyle w:val="Heading4"/>
        <w:numPr>
          <w:ilvl w:val="0"/>
          <w:numId w:val="0"/>
        </w:numPr>
        <w:ind w:left="720"/>
        <w:rPr>
          <w:b/>
          <w:bCs/>
        </w:rPr>
      </w:pPr>
      <w:r w:rsidRPr="00623589">
        <w:rPr>
          <w:b/>
          <w:bCs/>
        </w:rPr>
        <w:t>Endorsement Conditions</w:t>
      </w:r>
    </w:p>
    <w:p w14:paraId="5976293C" w14:textId="426ABE5D" w:rsidR="00FE3E5E" w:rsidRDefault="0032556D" w:rsidP="00623589">
      <w:pPr>
        <w:pStyle w:val="Heading3"/>
        <w:numPr>
          <w:ilvl w:val="0"/>
          <w:numId w:val="20"/>
        </w:numPr>
        <w:ind w:hanging="720"/>
        <w:rPr>
          <w:b w:val="0"/>
          <w:bCs/>
        </w:rPr>
      </w:pPr>
      <w:bookmarkStart w:id="44" w:name="_Toc109124053"/>
      <w:bookmarkStart w:id="45" w:name="_Toc138244487"/>
      <w:bookmarkStart w:id="46" w:name="_Toc138852539"/>
      <w:r w:rsidRPr="00623589">
        <w:rPr>
          <w:b w:val="0"/>
          <w:bCs/>
        </w:rPr>
        <w:t xml:space="preserve">Endorsements insured by </w:t>
      </w:r>
      <w:r w:rsidR="00B94DF7">
        <w:rPr>
          <w:b w:val="0"/>
          <w:bCs/>
        </w:rPr>
        <w:t>Advocus</w:t>
      </w:r>
      <w:r w:rsidRPr="00623589">
        <w:rPr>
          <w:b w:val="0"/>
          <w:bCs/>
        </w:rPr>
        <w:t xml:space="preserve"> shall be charged at the premium rate indicated on the attached Endorsement list.</w:t>
      </w:r>
      <w:bookmarkEnd w:id="44"/>
      <w:bookmarkEnd w:id="45"/>
      <w:bookmarkEnd w:id="46"/>
    </w:p>
    <w:p w14:paraId="36724DC5" w14:textId="24C7F36B" w:rsidR="00FE3E5E" w:rsidRDefault="0032556D" w:rsidP="00623589">
      <w:pPr>
        <w:pStyle w:val="Heading3"/>
        <w:numPr>
          <w:ilvl w:val="0"/>
          <w:numId w:val="20"/>
        </w:numPr>
        <w:ind w:hanging="720"/>
        <w:rPr>
          <w:b w:val="0"/>
          <w:bCs/>
        </w:rPr>
      </w:pPr>
      <w:bookmarkStart w:id="47" w:name="_Toc109124054"/>
      <w:bookmarkStart w:id="48" w:name="_Toc138244488"/>
      <w:bookmarkStart w:id="49" w:name="_Toc138852540"/>
      <w:r w:rsidRPr="00623589">
        <w:rPr>
          <w:b w:val="0"/>
          <w:bCs/>
        </w:rPr>
        <w:t xml:space="preserve">Premium charges for any endorsements not listed shall be determined by </w:t>
      </w:r>
      <w:r w:rsidR="00B94DF7">
        <w:rPr>
          <w:b w:val="0"/>
          <w:bCs/>
        </w:rPr>
        <w:t>Advocus</w:t>
      </w:r>
      <w:r w:rsidRPr="00623589">
        <w:rPr>
          <w:b w:val="0"/>
          <w:bCs/>
        </w:rPr>
        <w:t xml:space="preserve"> and premium charged will be reasonable for the </w:t>
      </w:r>
      <w:r w:rsidR="00FE3E5E">
        <w:rPr>
          <w:b w:val="0"/>
          <w:bCs/>
        </w:rPr>
        <w:t xml:space="preserve">risk assumed and the expenses incurred for the </w:t>
      </w:r>
      <w:r w:rsidRPr="00623589">
        <w:rPr>
          <w:b w:val="0"/>
          <w:bCs/>
        </w:rPr>
        <w:t>work performed</w:t>
      </w:r>
      <w:r w:rsidR="00FE3E5E">
        <w:rPr>
          <w:b w:val="0"/>
          <w:bCs/>
        </w:rPr>
        <w:t>.</w:t>
      </w:r>
      <w:bookmarkEnd w:id="47"/>
      <w:bookmarkEnd w:id="48"/>
      <w:bookmarkEnd w:id="49"/>
    </w:p>
    <w:p w14:paraId="787BAEA0" w14:textId="77777777" w:rsidR="00FE3E5E" w:rsidRDefault="00FE3E5E" w:rsidP="00623589">
      <w:pPr>
        <w:pStyle w:val="Heading3"/>
        <w:numPr>
          <w:ilvl w:val="0"/>
          <w:numId w:val="20"/>
        </w:numPr>
        <w:ind w:hanging="720"/>
        <w:rPr>
          <w:b w:val="0"/>
          <w:bCs/>
        </w:rPr>
      </w:pPr>
      <w:bookmarkStart w:id="50" w:name="_Toc109124055"/>
      <w:bookmarkStart w:id="51" w:name="_Toc138244489"/>
      <w:bookmarkStart w:id="52" w:name="_Toc138852541"/>
      <w:r>
        <w:rPr>
          <w:b w:val="0"/>
          <w:bCs/>
        </w:rPr>
        <w:t>Different rates apply to endorsements for “residential” and “non-residential” policies, as defined herein.</w:t>
      </w:r>
      <w:bookmarkEnd w:id="50"/>
      <w:bookmarkEnd w:id="51"/>
      <w:bookmarkEnd w:id="52"/>
    </w:p>
    <w:p w14:paraId="24F59677" w14:textId="77777777" w:rsidR="00FE3E5E" w:rsidRDefault="000E33CF" w:rsidP="00623589">
      <w:pPr>
        <w:pStyle w:val="Heading3"/>
        <w:numPr>
          <w:ilvl w:val="0"/>
          <w:numId w:val="20"/>
        </w:numPr>
        <w:ind w:hanging="720"/>
        <w:rPr>
          <w:b w:val="0"/>
          <w:bCs/>
        </w:rPr>
      </w:pPr>
      <w:bookmarkStart w:id="53" w:name="_Toc109124056"/>
      <w:bookmarkStart w:id="54" w:name="_Toc138244490"/>
      <w:bookmarkStart w:id="55" w:name="_Toc138852542"/>
      <w:r w:rsidRPr="00623589">
        <w:rPr>
          <w:b w:val="0"/>
          <w:bCs/>
        </w:rPr>
        <w:t xml:space="preserve">Premiums for Endorsements shall be charged at the </w:t>
      </w:r>
      <w:r w:rsidR="00BA392A" w:rsidRPr="00623589">
        <w:rPr>
          <w:b w:val="0"/>
          <w:bCs/>
        </w:rPr>
        <w:t>Original Rate</w:t>
      </w:r>
      <w:r w:rsidRPr="00623589">
        <w:rPr>
          <w:b w:val="0"/>
          <w:bCs/>
        </w:rPr>
        <w:t xml:space="preserve"> for the first </w:t>
      </w:r>
      <w:r w:rsidR="00FE3E5E" w:rsidRPr="00623589">
        <w:rPr>
          <w:b w:val="0"/>
          <w:bCs/>
        </w:rPr>
        <w:t xml:space="preserve">policy </w:t>
      </w:r>
      <w:r w:rsidRPr="00623589">
        <w:rPr>
          <w:b w:val="0"/>
          <w:bCs/>
        </w:rPr>
        <w:t xml:space="preserve">issued in a single transaction and at 50% of the </w:t>
      </w:r>
      <w:r w:rsidR="00BA392A" w:rsidRPr="00623589">
        <w:rPr>
          <w:b w:val="0"/>
          <w:bCs/>
        </w:rPr>
        <w:t>Original Rate</w:t>
      </w:r>
      <w:r w:rsidRPr="00623589">
        <w:rPr>
          <w:b w:val="0"/>
          <w:bCs/>
        </w:rPr>
        <w:t xml:space="preserve"> for each </w:t>
      </w:r>
      <w:r w:rsidR="00FE3E5E" w:rsidRPr="00623589">
        <w:rPr>
          <w:b w:val="0"/>
          <w:bCs/>
        </w:rPr>
        <w:t xml:space="preserve">Simultaneously Issued </w:t>
      </w:r>
      <w:r w:rsidRPr="00623589">
        <w:rPr>
          <w:b w:val="0"/>
          <w:bCs/>
        </w:rPr>
        <w:t>Policy in connection with said transaction</w:t>
      </w:r>
      <w:r w:rsidR="00FE3E5E">
        <w:rPr>
          <w:b w:val="0"/>
          <w:bCs/>
        </w:rPr>
        <w:t>.</w:t>
      </w:r>
      <w:bookmarkEnd w:id="53"/>
      <w:bookmarkEnd w:id="54"/>
      <w:bookmarkEnd w:id="55"/>
    </w:p>
    <w:p w14:paraId="19D25AF6" w14:textId="07EADB93" w:rsidR="009419A6" w:rsidRDefault="00FE3E5E" w:rsidP="00623589">
      <w:pPr>
        <w:pStyle w:val="Heading3"/>
        <w:numPr>
          <w:ilvl w:val="0"/>
          <w:numId w:val="20"/>
        </w:numPr>
        <w:ind w:hanging="720"/>
        <w:rPr>
          <w:b w:val="0"/>
          <w:bCs/>
        </w:rPr>
      </w:pPr>
      <w:bookmarkStart w:id="56" w:name="_Toc109124057"/>
      <w:bookmarkStart w:id="57" w:name="_Toc138244491"/>
      <w:bookmarkStart w:id="58" w:name="_Toc138852543"/>
      <w:r>
        <w:rPr>
          <w:b w:val="0"/>
          <w:bCs/>
        </w:rPr>
        <w:t xml:space="preserve">The endorsement premium rates on the </w:t>
      </w:r>
      <w:r w:rsidR="00D6390A">
        <w:rPr>
          <w:b w:val="0"/>
          <w:bCs/>
        </w:rPr>
        <w:t>list below apply to all policies up to $20,000,000</w:t>
      </w:r>
      <w:r w:rsidR="000E33CF" w:rsidRPr="00623589">
        <w:rPr>
          <w:b w:val="0"/>
          <w:bCs/>
        </w:rPr>
        <w:t>.</w:t>
      </w:r>
      <w:r w:rsidR="00D6390A">
        <w:rPr>
          <w:b w:val="0"/>
          <w:bCs/>
        </w:rPr>
        <w:t xml:space="preserve"> For policies that exceed $20,000,000, </w:t>
      </w:r>
      <w:r w:rsidR="00B94DF7">
        <w:rPr>
          <w:b w:val="0"/>
          <w:bCs/>
        </w:rPr>
        <w:t>Advocus</w:t>
      </w:r>
      <w:r w:rsidR="00D6390A">
        <w:rPr>
          <w:b w:val="0"/>
          <w:bCs/>
        </w:rPr>
        <w:t xml:space="preserve"> reserves the right to charge additional premiums for endorsements commensurate with the dollar amount of that policy.</w:t>
      </w:r>
      <w:bookmarkEnd w:id="56"/>
      <w:bookmarkEnd w:id="57"/>
      <w:bookmarkEnd w:id="58"/>
    </w:p>
    <w:sectPr w:rsidR="009419A6" w:rsidSect="004A55A3">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52AA8" w14:textId="77777777" w:rsidR="0050240A" w:rsidRDefault="0050240A">
      <w:r>
        <w:separator/>
      </w:r>
    </w:p>
  </w:endnote>
  <w:endnote w:type="continuationSeparator" w:id="0">
    <w:p w14:paraId="004D46AF" w14:textId="77777777" w:rsidR="0050240A" w:rsidRDefault="0050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erriweather">
    <w:panose1 w:val="02060503050406030704"/>
    <w:charset w:val="00"/>
    <w:family w:val="roman"/>
    <w:pitch w:val="variable"/>
    <w:sig w:usb0="800000A7" w:usb1="5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5D09" w14:textId="77777777" w:rsidR="00924919" w:rsidRPr="00D15815" w:rsidRDefault="00924919" w:rsidP="00240841">
    <w:pPr>
      <w:tabs>
        <w:tab w:val="right" w:pos="10800"/>
      </w:tabs>
      <w:spacing w:after="0"/>
      <w:rPr>
        <w:rFonts w:ascii="Arial" w:hAnsi="Arial"/>
        <w:sz w:val="12"/>
      </w:rPr>
    </w:pPr>
  </w:p>
  <w:tbl>
    <w:tblPr>
      <w:tblW w:w="0" w:type="auto"/>
      <w:tblCellMar>
        <w:left w:w="0" w:type="dxa"/>
        <w:right w:w="0" w:type="dxa"/>
      </w:tblCellMar>
      <w:tblLook w:val="0000" w:firstRow="0" w:lastRow="0" w:firstColumn="0" w:lastColumn="0" w:noHBand="0" w:noVBand="0"/>
    </w:tblPr>
    <w:tblGrid>
      <w:gridCol w:w="3672"/>
      <w:gridCol w:w="3388"/>
      <w:gridCol w:w="3740"/>
    </w:tblGrid>
    <w:tr w:rsidR="00924919" w:rsidRPr="00D15815" w14:paraId="158EE6D7" w14:textId="77777777" w:rsidTr="00B52EF9">
      <w:tc>
        <w:tcPr>
          <w:tcW w:w="3672" w:type="dxa"/>
          <w:tcBorders>
            <w:top w:val="nil"/>
            <w:left w:val="nil"/>
            <w:bottom w:val="nil"/>
            <w:right w:val="nil"/>
          </w:tcBorders>
          <w:vAlign w:val="bottom"/>
        </w:tcPr>
        <w:p w14:paraId="60CFEAE0" w14:textId="3D86C44C" w:rsidR="00924919" w:rsidRPr="00D15815" w:rsidRDefault="00924919" w:rsidP="00240841">
          <w:pPr>
            <w:keepNext/>
            <w:spacing w:after="0"/>
            <w:rPr>
              <w:rFonts w:ascii="Arial" w:hAnsi="Arial" w:cs="Arial"/>
              <w:sz w:val="12"/>
              <w:szCs w:val="12"/>
            </w:rPr>
          </w:pPr>
          <w:r w:rsidRPr="00D15815">
            <w:rPr>
              <w:rFonts w:ascii="Arial" w:hAnsi="Arial" w:cs="Arial"/>
              <w:sz w:val="12"/>
              <w:szCs w:val="12"/>
            </w:rPr>
            <w:t xml:space="preserve">FORM </w:t>
          </w:r>
          <w:r w:rsidR="004A55A3">
            <w:rPr>
              <w:rFonts w:ascii="Arial" w:hAnsi="Arial" w:cs="Arial"/>
              <w:sz w:val="12"/>
              <w:szCs w:val="12"/>
            </w:rPr>
            <w:t>4044-A-WI</w:t>
          </w:r>
        </w:p>
        <w:p w14:paraId="23726D97" w14:textId="5A87B148" w:rsidR="00924919" w:rsidRPr="00D15815" w:rsidRDefault="00924919" w:rsidP="0032556D">
          <w:pPr>
            <w:keepNext/>
            <w:spacing w:after="0"/>
            <w:rPr>
              <w:rFonts w:ascii="Arial" w:hAnsi="Arial" w:cs="Arial"/>
              <w:sz w:val="12"/>
              <w:szCs w:val="12"/>
            </w:rPr>
          </w:pPr>
          <w:r w:rsidRPr="00D15815">
            <w:rPr>
              <w:rFonts w:ascii="Arial" w:hAnsi="Arial" w:cs="Arial"/>
              <w:sz w:val="12"/>
              <w:szCs w:val="12"/>
            </w:rPr>
            <w:t>© A</w:t>
          </w:r>
          <w:r w:rsidR="00E71185">
            <w:rPr>
              <w:rFonts w:ascii="Arial" w:hAnsi="Arial" w:cs="Arial"/>
              <w:sz w:val="12"/>
              <w:szCs w:val="12"/>
            </w:rPr>
            <w:t>DVOCUS</w:t>
          </w:r>
          <w:r w:rsidRPr="00D15815">
            <w:rPr>
              <w:rFonts w:ascii="Arial" w:hAnsi="Arial" w:cs="Arial"/>
              <w:sz w:val="12"/>
              <w:szCs w:val="12"/>
            </w:rPr>
            <w:t xml:space="preserve"> (</w:t>
          </w:r>
          <w:r w:rsidR="007775F7">
            <w:rPr>
              <w:rFonts w:ascii="Arial" w:hAnsi="Arial" w:cs="Arial"/>
              <w:sz w:val="12"/>
              <w:szCs w:val="12"/>
            </w:rPr>
            <w:t>REV.</w:t>
          </w:r>
          <w:r w:rsidR="00E71185">
            <w:rPr>
              <w:rFonts w:ascii="Arial" w:hAnsi="Arial" w:cs="Arial"/>
              <w:sz w:val="12"/>
              <w:szCs w:val="12"/>
            </w:rPr>
            <w:t>4</w:t>
          </w:r>
          <w:r w:rsidR="003133E8">
            <w:rPr>
              <w:rFonts w:ascii="Arial" w:hAnsi="Arial" w:cs="Arial"/>
              <w:sz w:val="12"/>
              <w:szCs w:val="12"/>
            </w:rPr>
            <w:t>/23</w:t>
          </w:r>
          <w:r w:rsidRPr="00D15815">
            <w:rPr>
              <w:rFonts w:ascii="Arial" w:hAnsi="Arial" w:cs="Arial"/>
              <w:sz w:val="12"/>
              <w:szCs w:val="12"/>
            </w:rPr>
            <w:t>)</w:t>
          </w:r>
        </w:p>
      </w:tc>
      <w:tc>
        <w:tcPr>
          <w:tcW w:w="3388" w:type="dxa"/>
          <w:tcBorders>
            <w:top w:val="nil"/>
            <w:left w:val="nil"/>
            <w:bottom w:val="nil"/>
            <w:right w:val="nil"/>
          </w:tcBorders>
          <w:vAlign w:val="bottom"/>
        </w:tcPr>
        <w:p w14:paraId="77E30801" w14:textId="77777777" w:rsidR="00924919" w:rsidRPr="00D15815" w:rsidRDefault="00924919" w:rsidP="00240841">
          <w:pPr>
            <w:keepNext/>
            <w:spacing w:after="0"/>
            <w:jc w:val="center"/>
            <w:rPr>
              <w:rFonts w:ascii="Arial" w:hAnsi="Arial" w:cs="Arial"/>
              <w:sz w:val="16"/>
              <w:szCs w:val="16"/>
            </w:rPr>
          </w:pPr>
        </w:p>
      </w:tc>
      <w:tc>
        <w:tcPr>
          <w:tcW w:w="3740" w:type="dxa"/>
          <w:tcBorders>
            <w:top w:val="nil"/>
            <w:left w:val="nil"/>
            <w:bottom w:val="nil"/>
            <w:right w:val="nil"/>
          </w:tcBorders>
          <w:vAlign w:val="bottom"/>
        </w:tcPr>
        <w:p w14:paraId="5BB6F982" w14:textId="654E8D07" w:rsidR="00924919" w:rsidRPr="00D15815" w:rsidRDefault="00924919" w:rsidP="0032556D">
          <w:pPr>
            <w:keepNext/>
            <w:spacing w:after="0"/>
            <w:jc w:val="right"/>
            <w:rPr>
              <w:rFonts w:ascii="Arial" w:hAnsi="Arial" w:cs="Arial"/>
              <w:sz w:val="12"/>
              <w:szCs w:val="12"/>
            </w:rPr>
          </w:pPr>
          <w:r w:rsidRPr="00D15815">
            <w:rPr>
              <w:rFonts w:ascii="Arial" w:hAnsi="Arial" w:cs="Arial"/>
              <w:sz w:val="12"/>
              <w:szCs w:val="12"/>
            </w:rPr>
            <w:t xml:space="preserve">Page </w:t>
          </w:r>
          <w:r w:rsidRPr="00D15815">
            <w:rPr>
              <w:rFonts w:ascii="Arial" w:hAnsi="Arial" w:cs="Arial"/>
              <w:sz w:val="12"/>
              <w:szCs w:val="12"/>
            </w:rPr>
            <w:fldChar w:fldCharType="begin"/>
          </w:r>
          <w:r w:rsidRPr="00D15815">
            <w:rPr>
              <w:rFonts w:ascii="Arial" w:hAnsi="Arial" w:cs="Arial"/>
              <w:sz w:val="12"/>
              <w:szCs w:val="12"/>
            </w:rPr>
            <w:instrText xml:space="preserve"> PAGE </w:instrText>
          </w:r>
          <w:r w:rsidRPr="00D15815">
            <w:rPr>
              <w:rFonts w:ascii="Arial" w:hAnsi="Arial" w:cs="Arial"/>
              <w:sz w:val="12"/>
              <w:szCs w:val="12"/>
            </w:rPr>
            <w:fldChar w:fldCharType="separate"/>
          </w:r>
          <w:r>
            <w:rPr>
              <w:rFonts w:ascii="Arial" w:hAnsi="Arial" w:cs="Arial"/>
              <w:noProof/>
              <w:sz w:val="12"/>
              <w:szCs w:val="12"/>
            </w:rPr>
            <w:t>2</w:t>
          </w:r>
          <w:r w:rsidRPr="00D15815">
            <w:rPr>
              <w:rFonts w:ascii="Arial" w:hAnsi="Arial" w:cs="Arial"/>
              <w:sz w:val="12"/>
              <w:szCs w:val="12"/>
            </w:rPr>
            <w:fldChar w:fldCharType="end"/>
          </w:r>
        </w:p>
      </w:tc>
    </w:tr>
  </w:tbl>
  <w:p w14:paraId="263A8E30" w14:textId="77777777" w:rsidR="00924919" w:rsidRPr="00D15815" w:rsidRDefault="00924919" w:rsidP="00D3700F">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24AD" w14:textId="77777777" w:rsidR="00B44A9F" w:rsidRPr="007B6E9D" w:rsidRDefault="00B44A9F" w:rsidP="007B6E9D">
    <w:pPr>
      <w:pStyle w:val="Footer"/>
      <w:spacing w:after="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CA76" w14:textId="77777777" w:rsidR="00924919" w:rsidRPr="00D15815" w:rsidRDefault="00924919" w:rsidP="00017D16">
    <w:pPr>
      <w:tabs>
        <w:tab w:val="right" w:pos="10800"/>
      </w:tabs>
      <w:spacing w:after="0"/>
      <w:rPr>
        <w:rFonts w:ascii="Arial" w:hAnsi="Arial"/>
        <w:sz w:val="12"/>
      </w:rPr>
    </w:pPr>
  </w:p>
  <w:tbl>
    <w:tblPr>
      <w:tblW w:w="0" w:type="auto"/>
      <w:tblCellMar>
        <w:left w:w="0" w:type="dxa"/>
        <w:right w:w="0" w:type="dxa"/>
      </w:tblCellMar>
      <w:tblLook w:val="0000" w:firstRow="0" w:lastRow="0" w:firstColumn="0" w:lastColumn="0" w:noHBand="0" w:noVBand="0"/>
    </w:tblPr>
    <w:tblGrid>
      <w:gridCol w:w="3672"/>
      <w:gridCol w:w="3388"/>
      <w:gridCol w:w="3740"/>
    </w:tblGrid>
    <w:tr w:rsidR="00924919" w:rsidRPr="00D15815" w14:paraId="6332FECC" w14:textId="77777777" w:rsidTr="00B52EF9">
      <w:tc>
        <w:tcPr>
          <w:tcW w:w="3672" w:type="dxa"/>
          <w:tcBorders>
            <w:top w:val="nil"/>
            <w:left w:val="nil"/>
            <w:bottom w:val="nil"/>
            <w:right w:val="nil"/>
          </w:tcBorders>
          <w:vAlign w:val="bottom"/>
        </w:tcPr>
        <w:p w14:paraId="199ACA7D" w14:textId="328AB197" w:rsidR="00924919" w:rsidRPr="00D15815" w:rsidRDefault="00924919" w:rsidP="00B52EF9">
          <w:pPr>
            <w:keepNext/>
            <w:spacing w:after="0"/>
            <w:rPr>
              <w:rFonts w:ascii="Arial" w:hAnsi="Arial" w:cs="Arial"/>
              <w:sz w:val="12"/>
              <w:szCs w:val="12"/>
            </w:rPr>
          </w:pPr>
          <w:r w:rsidRPr="00D15815">
            <w:rPr>
              <w:rFonts w:ascii="Arial" w:hAnsi="Arial" w:cs="Arial"/>
              <w:sz w:val="12"/>
              <w:szCs w:val="12"/>
            </w:rPr>
            <w:t xml:space="preserve">FORM </w:t>
          </w:r>
          <w:r w:rsidR="004A55A3">
            <w:rPr>
              <w:rFonts w:ascii="Arial" w:hAnsi="Arial" w:cs="Arial"/>
              <w:sz w:val="12"/>
              <w:szCs w:val="12"/>
            </w:rPr>
            <w:t>4044-A-WI</w:t>
          </w:r>
        </w:p>
        <w:p w14:paraId="6256EB09" w14:textId="025C9395" w:rsidR="00924919" w:rsidRPr="00D15815" w:rsidRDefault="00924919" w:rsidP="00B52EF9">
          <w:pPr>
            <w:keepNext/>
            <w:spacing w:after="0"/>
            <w:rPr>
              <w:rFonts w:ascii="Arial" w:hAnsi="Arial" w:cs="Arial"/>
              <w:sz w:val="12"/>
              <w:szCs w:val="12"/>
            </w:rPr>
          </w:pPr>
          <w:r w:rsidRPr="00D15815">
            <w:rPr>
              <w:rFonts w:ascii="Arial" w:hAnsi="Arial" w:cs="Arial"/>
              <w:sz w:val="12"/>
              <w:szCs w:val="12"/>
            </w:rPr>
            <w:t>© A</w:t>
          </w:r>
          <w:r w:rsidR="00A871A8">
            <w:rPr>
              <w:rFonts w:ascii="Arial" w:hAnsi="Arial" w:cs="Arial"/>
              <w:sz w:val="12"/>
              <w:szCs w:val="12"/>
            </w:rPr>
            <w:t>DVOCUS</w:t>
          </w:r>
          <w:r w:rsidRPr="00D15815">
            <w:rPr>
              <w:rFonts w:ascii="Arial" w:hAnsi="Arial" w:cs="Arial"/>
              <w:sz w:val="12"/>
              <w:szCs w:val="12"/>
            </w:rPr>
            <w:t xml:space="preserve"> (</w:t>
          </w:r>
          <w:r w:rsidR="007775F7">
            <w:rPr>
              <w:rFonts w:ascii="Arial" w:hAnsi="Arial" w:cs="Arial"/>
              <w:sz w:val="12"/>
              <w:szCs w:val="12"/>
            </w:rPr>
            <w:t xml:space="preserve">REV. </w:t>
          </w:r>
          <w:r w:rsidR="005E185D">
            <w:rPr>
              <w:rFonts w:ascii="Arial" w:hAnsi="Arial" w:cs="Arial"/>
              <w:sz w:val="12"/>
              <w:szCs w:val="12"/>
            </w:rPr>
            <w:t>4</w:t>
          </w:r>
          <w:r w:rsidR="003133E8">
            <w:rPr>
              <w:rFonts w:ascii="Arial" w:hAnsi="Arial" w:cs="Arial"/>
              <w:sz w:val="12"/>
              <w:szCs w:val="12"/>
            </w:rPr>
            <w:t>/23</w:t>
          </w:r>
          <w:r w:rsidRPr="00D15815">
            <w:rPr>
              <w:rFonts w:ascii="Arial" w:hAnsi="Arial" w:cs="Arial"/>
              <w:sz w:val="12"/>
              <w:szCs w:val="12"/>
            </w:rPr>
            <w:t>)</w:t>
          </w:r>
        </w:p>
      </w:tc>
      <w:tc>
        <w:tcPr>
          <w:tcW w:w="3388" w:type="dxa"/>
          <w:tcBorders>
            <w:top w:val="nil"/>
            <w:left w:val="nil"/>
            <w:bottom w:val="nil"/>
            <w:right w:val="nil"/>
          </w:tcBorders>
          <w:vAlign w:val="bottom"/>
        </w:tcPr>
        <w:p w14:paraId="3B839901" w14:textId="77777777" w:rsidR="00924919" w:rsidRPr="00D15815" w:rsidRDefault="00924919" w:rsidP="00B52EF9">
          <w:pPr>
            <w:keepNext/>
            <w:spacing w:after="0"/>
            <w:jc w:val="center"/>
            <w:rPr>
              <w:rFonts w:ascii="Arial" w:hAnsi="Arial" w:cs="Arial"/>
              <w:sz w:val="16"/>
              <w:szCs w:val="16"/>
            </w:rPr>
          </w:pPr>
        </w:p>
      </w:tc>
      <w:tc>
        <w:tcPr>
          <w:tcW w:w="3740" w:type="dxa"/>
          <w:tcBorders>
            <w:top w:val="nil"/>
            <w:left w:val="nil"/>
            <w:bottom w:val="nil"/>
            <w:right w:val="nil"/>
          </w:tcBorders>
          <w:vAlign w:val="bottom"/>
        </w:tcPr>
        <w:p w14:paraId="429181F2" w14:textId="4E0E1FDA" w:rsidR="00924919" w:rsidRPr="00D15815" w:rsidRDefault="00924919" w:rsidP="00B52EF9">
          <w:pPr>
            <w:keepNext/>
            <w:spacing w:after="0"/>
            <w:jc w:val="right"/>
            <w:rPr>
              <w:rFonts w:ascii="Arial" w:hAnsi="Arial" w:cs="Arial"/>
              <w:sz w:val="12"/>
              <w:szCs w:val="12"/>
            </w:rPr>
          </w:pPr>
          <w:r w:rsidRPr="00D15815">
            <w:rPr>
              <w:rFonts w:ascii="Arial" w:hAnsi="Arial" w:cs="Arial"/>
              <w:sz w:val="12"/>
              <w:szCs w:val="12"/>
            </w:rPr>
            <w:t xml:space="preserve">Page </w:t>
          </w:r>
          <w:r w:rsidRPr="00D15815">
            <w:rPr>
              <w:rFonts w:ascii="Arial" w:hAnsi="Arial" w:cs="Arial"/>
              <w:sz w:val="12"/>
              <w:szCs w:val="12"/>
            </w:rPr>
            <w:fldChar w:fldCharType="begin"/>
          </w:r>
          <w:r w:rsidRPr="00D15815">
            <w:rPr>
              <w:rFonts w:ascii="Arial" w:hAnsi="Arial" w:cs="Arial"/>
              <w:sz w:val="12"/>
              <w:szCs w:val="12"/>
            </w:rPr>
            <w:instrText xml:space="preserve"> PAGE </w:instrText>
          </w:r>
          <w:r w:rsidRPr="00D15815">
            <w:rPr>
              <w:rFonts w:ascii="Arial" w:hAnsi="Arial" w:cs="Arial"/>
              <w:sz w:val="12"/>
              <w:szCs w:val="12"/>
            </w:rPr>
            <w:fldChar w:fldCharType="separate"/>
          </w:r>
          <w:r>
            <w:rPr>
              <w:rFonts w:ascii="Arial" w:hAnsi="Arial" w:cs="Arial"/>
              <w:noProof/>
              <w:sz w:val="12"/>
              <w:szCs w:val="12"/>
            </w:rPr>
            <w:t>i</w:t>
          </w:r>
          <w:r w:rsidRPr="00D15815">
            <w:rPr>
              <w:rFonts w:ascii="Arial" w:hAnsi="Arial" w:cs="Arial"/>
              <w:sz w:val="12"/>
              <w:szCs w:val="12"/>
            </w:rPr>
            <w:fldChar w:fldCharType="end"/>
          </w:r>
        </w:p>
      </w:tc>
    </w:tr>
  </w:tbl>
  <w:p w14:paraId="3665C8CD" w14:textId="77777777" w:rsidR="00924919" w:rsidRPr="00D15815" w:rsidRDefault="00924919" w:rsidP="00017D16">
    <w:pPr>
      <w:tabs>
        <w:tab w:val="right" w:pos="10800"/>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4D285" w14:textId="77777777" w:rsidR="0050240A" w:rsidRDefault="0050240A">
      <w:r>
        <w:separator/>
      </w:r>
    </w:p>
  </w:footnote>
  <w:footnote w:type="continuationSeparator" w:id="0">
    <w:p w14:paraId="59FDCD45" w14:textId="77777777" w:rsidR="0050240A" w:rsidRDefault="00502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00A6" w14:textId="77777777" w:rsidR="00924919" w:rsidRPr="00FB0F14" w:rsidRDefault="00924919" w:rsidP="0032556D">
    <w:pPr>
      <w:pStyle w:val="Header"/>
      <w:jc w:val="center"/>
      <w:rPr>
        <w:sz w:val="24"/>
      </w:rPr>
    </w:pPr>
    <w:r w:rsidRPr="00FB0F14">
      <w:rPr>
        <w:noProof/>
        <w:sz w:val="24"/>
      </w:rPr>
      <w:drawing>
        <wp:inline distT="0" distB="0" distL="0" distR="0" wp14:anchorId="5E721854" wp14:editId="3A4F8050">
          <wp:extent cx="4956048" cy="21945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4956048" cy="219456"/>
                  </a:xfrm>
                  <a:prstGeom prst="rect">
                    <a:avLst/>
                  </a:prstGeom>
                </pic:spPr>
              </pic:pic>
            </a:graphicData>
          </a:graphic>
        </wp:inline>
      </w:drawing>
    </w:r>
  </w:p>
  <w:p w14:paraId="3D59B635" w14:textId="77777777" w:rsidR="00924919" w:rsidRPr="00F9580A" w:rsidRDefault="00924919" w:rsidP="003C12BE">
    <w:pPr>
      <w:pStyle w:val="Header"/>
      <w:spacing w:after="240"/>
      <w:jc w:val="center"/>
      <w:rPr>
        <w:rFonts w:ascii="Arial" w:hAnsi="Arial" w:cs="Arial"/>
        <w:b/>
        <w:sz w:val="24"/>
      </w:rPr>
    </w:pPr>
    <w:r w:rsidRPr="00F9580A">
      <w:rPr>
        <w:rFonts w:ascii="Arial" w:hAnsi="Arial" w:cs="Arial"/>
        <w:b/>
        <w:sz w:val="24"/>
      </w:rPr>
      <w:t>RATES AND RULES FILING: STATE OF WISCONSIN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E19B" w14:textId="77777777" w:rsidR="00B5408D" w:rsidRPr="00B44A9F" w:rsidRDefault="00B5408D" w:rsidP="00B44A9F">
    <w:pPr>
      <w:pStyle w:val="Header"/>
      <w:spacing w:after="0"/>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CF37" w14:textId="77777777" w:rsidR="00924919" w:rsidRPr="00FB0F14" w:rsidRDefault="00924919" w:rsidP="00017D16">
    <w:pPr>
      <w:pStyle w:val="Header"/>
      <w:jc w:val="center"/>
      <w:rPr>
        <w:sz w:val="24"/>
      </w:rPr>
    </w:pPr>
    <w:r w:rsidRPr="00FB0F14">
      <w:rPr>
        <w:noProof/>
        <w:sz w:val="24"/>
      </w:rPr>
      <w:drawing>
        <wp:inline distT="0" distB="0" distL="0" distR="0" wp14:anchorId="075BA4AE" wp14:editId="4CCC0442">
          <wp:extent cx="4956048" cy="219456"/>
          <wp:effectExtent l="0" t="0" r="0" b="9525"/>
          <wp:docPr id="1254284726" name="Picture 1254284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284726" name="Picture 1254284726"/>
                  <pic:cNvPicPr/>
                </pic:nvPicPr>
                <pic:blipFill>
                  <a:blip r:embed="rId1">
                    <a:extLst>
                      <a:ext uri="{28A0092B-C50C-407E-A947-70E740481C1C}">
                        <a14:useLocalDpi xmlns:a14="http://schemas.microsoft.com/office/drawing/2010/main" val="0"/>
                      </a:ext>
                    </a:extLst>
                  </a:blip>
                  <a:stretch>
                    <a:fillRect/>
                  </a:stretch>
                </pic:blipFill>
                <pic:spPr>
                  <a:xfrm>
                    <a:off x="0" y="0"/>
                    <a:ext cx="4956048" cy="219456"/>
                  </a:xfrm>
                  <a:prstGeom prst="rect">
                    <a:avLst/>
                  </a:prstGeom>
                </pic:spPr>
              </pic:pic>
            </a:graphicData>
          </a:graphic>
        </wp:inline>
      </w:drawing>
    </w:r>
  </w:p>
  <w:p w14:paraId="08056DE4" w14:textId="77777777" w:rsidR="00924919" w:rsidRPr="00F9580A" w:rsidRDefault="00924919" w:rsidP="00017D16">
    <w:pPr>
      <w:pStyle w:val="Header"/>
      <w:spacing w:after="360"/>
      <w:jc w:val="center"/>
      <w:rPr>
        <w:rFonts w:ascii="Arial" w:hAnsi="Arial" w:cs="Arial"/>
        <w:b/>
        <w:sz w:val="24"/>
      </w:rPr>
    </w:pPr>
    <w:r w:rsidRPr="00F9580A">
      <w:rPr>
        <w:rFonts w:ascii="Arial" w:hAnsi="Arial" w:cs="Arial"/>
        <w:b/>
        <w:sz w:val="24"/>
      </w:rPr>
      <w:t>RATES AND RULES FILING: STATE OF WISCONSIN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142"/>
    <w:multiLevelType w:val="multilevel"/>
    <w:tmpl w:val="DE48EC9E"/>
    <w:lvl w:ilvl="0">
      <w:start w:val="1"/>
      <w:numFmt w:val="upperRoman"/>
      <w:pStyle w:val="Heading2"/>
      <w:lvlText w:val="SECTION %1:"/>
      <w:lvlJc w:val="left"/>
      <w:pPr>
        <w:tabs>
          <w:tab w:val="num" w:pos="720"/>
        </w:tabs>
        <w:ind w:left="720" w:hanging="720"/>
      </w:pPr>
      <w:rPr>
        <w:rFonts w:hint="default"/>
      </w:rPr>
    </w:lvl>
    <w:lvl w:ilvl="1">
      <w:start w:val="1"/>
      <w:numFmt w:val="upperLetter"/>
      <w:pStyle w:val="Heading3"/>
      <w:lvlText w:val="%2."/>
      <w:lvlJc w:val="left"/>
      <w:pPr>
        <w:tabs>
          <w:tab w:val="num" w:pos="1440"/>
        </w:tabs>
        <w:ind w:left="1440" w:hanging="720"/>
      </w:pPr>
      <w:rPr>
        <w:rFonts w:hint="default"/>
      </w:rPr>
    </w:lvl>
    <w:lvl w:ilvl="2">
      <w:start w:val="1"/>
      <w:numFmt w:val="decimal"/>
      <w:pStyle w:val="Heading4"/>
      <w:lvlText w:val="%3."/>
      <w:lvlJc w:val="left"/>
      <w:pPr>
        <w:tabs>
          <w:tab w:val="num" w:pos="2160"/>
        </w:tabs>
        <w:ind w:left="2160" w:hanging="720"/>
      </w:pPr>
      <w:rPr>
        <w:rFonts w:hint="default"/>
      </w:rPr>
    </w:lvl>
    <w:lvl w:ilvl="3">
      <w:start w:val="1"/>
      <w:numFmt w:val="lowerLetter"/>
      <w:pStyle w:val="Heading5"/>
      <w:lvlText w:val="%4."/>
      <w:lvlJc w:val="left"/>
      <w:pPr>
        <w:tabs>
          <w:tab w:val="num" w:pos="2880"/>
        </w:tabs>
        <w:ind w:left="2880" w:hanging="720"/>
      </w:pPr>
      <w:rPr>
        <w:rFonts w:hint="default"/>
      </w:rPr>
    </w:lvl>
    <w:lvl w:ilvl="4">
      <w:start w:val="1"/>
      <w:numFmt w:val="lowerRoman"/>
      <w:pStyle w:val="Heading6"/>
      <w:lvlText w:val="%5."/>
      <w:lvlJc w:val="left"/>
      <w:pPr>
        <w:tabs>
          <w:tab w:val="num" w:pos="3600"/>
        </w:tabs>
        <w:ind w:left="3600" w:hanging="720"/>
      </w:pPr>
      <w:rPr>
        <w:rFonts w:hint="default"/>
      </w:rPr>
    </w:lvl>
    <w:lvl w:ilvl="5">
      <w:start w:val="1"/>
      <w:numFmt w:val="decimal"/>
      <w:pStyle w:val="Heading7"/>
      <w:lvlText w:val="(%6)"/>
      <w:lvlJc w:val="left"/>
      <w:pPr>
        <w:tabs>
          <w:tab w:val="num" w:pos="4320"/>
        </w:tabs>
        <w:ind w:left="4320" w:hanging="720"/>
      </w:pPr>
      <w:rPr>
        <w:rFonts w:hint="default"/>
      </w:rPr>
    </w:lvl>
    <w:lvl w:ilvl="6">
      <w:start w:val="1"/>
      <w:numFmt w:val="lowerLetter"/>
      <w:pStyle w:val="Heading8"/>
      <w:lvlText w:val="(%7)"/>
      <w:lvlJc w:val="left"/>
      <w:pPr>
        <w:tabs>
          <w:tab w:val="num" w:pos="5040"/>
        </w:tabs>
        <w:ind w:left="5040" w:hanging="720"/>
      </w:pPr>
      <w:rPr>
        <w:rFonts w:hint="default"/>
      </w:rPr>
    </w:lvl>
    <w:lvl w:ilvl="7">
      <w:start w:val="1"/>
      <w:numFmt w:val="lowerRoman"/>
      <w:pStyle w:val="Heading9"/>
      <w:lvlText w:val="(%8)"/>
      <w:lvlJc w:val="left"/>
      <w:pPr>
        <w:tabs>
          <w:tab w:val="num" w:pos="5760"/>
        </w:tabs>
        <w:ind w:left="5760" w:hanging="720"/>
      </w:pPr>
      <w:rPr>
        <w:rFonts w:hint="default"/>
      </w:rPr>
    </w:lvl>
    <w:lvl w:ilvl="8">
      <w:start w:val="1"/>
      <w:numFmt w:val="bullet"/>
      <w:lvlRestart w:val="0"/>
      <w:lvlText w:val=""/>
      <w:lvlJc w:val="left"/>
      <w:pPr>
        <w:tabs>
          <w:tab w:val="num" w:pos="6480"/>
        </w:tabs>
        <w:ind w:left="6480" w:hanging="720"/>
      </w:pPr>
      <w:rPr>
        <w:rFonts w:ascii="Wingdings" w:hAnsi="Wingdings" w:hint="default"/>
        <w:color w:val="000080"/>
      </w:rPr>
    </w:lvl>
  </w:abstractNum>
  <w:abstractNum w:abstractNumId="1" w15:restartNumberingAfterBreak="0">
    <w:nsid w:val="2C113E7B"/>
    <w:multiLevelType w:val="hybridMultilevel"/>
    <w:tmpl w:val="7ED6602C"/>
    <w:lvl w:ilvl="0" w:tplc="E81030A6">
      <w:start w:val="1"/>
      <w:numFmt w:val="bullet"/>
      <w:lvlText w:val="-"/>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0BE7273"/>
    <w:multiLevelType w:val="hybridMultilevel"/>
    <w:tmpl w:val="D4F0B552"/>
    <w:lvl w:ilvl="0" w:tplc="FFFFFFFF">
      <w:start w:val="1"/>
      <w:numFmt w:val="bullet"/>
      <w:lvlText w:val="-"/>
      <w:lvlJc w:val="left"/>
      <w:pPr>
        <w:ind w:left="2520" w:hanging="360"/>
      </w:pPr>
      <w:rPr>
        <w:rFonts w:ascii="Courier New" w:hAnsi="Courier New" w:hint="default"/>
      </w:rPr>
    </w:lvl>
    <w:lvl w:ilvl="1" w:tplc="951A8336">
      <w:start w:val="1"/>
      <w:numFmt w:val="decimal"/>
      <w:lvlText w:val="(%2)"/>
      <w:lvlJc w:val="left"/>
      <w:pPr>
        <w:ind w:left="3240" w:hanging="360"/>
      </w:pPr>
      <w:rPr>
        <w:rFonts w:ascii="Arial" w:hAnsi="Arial"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3" w15:restartNumberingAfterBreak="0">
    <w:nsid w:val="68D15F26"/>
    <w:multiLevelType w:val="hybridMultilevel"/>
    <w:tmpl w:val="2FDA2594"/>
    <w:lvl w:ilvl="0" w:tplc="951A8336">
      <w:start w:val="1"/>
      <w:numFmt w:val="decimal"/>
      <w:lvlText w:val="(%1)"/>
      <w:lvlJc w:val="left"/>
      <w:pPr>
        <w:ind w:left="2520" w:hanging="360"/>
      </w:pPr>
      <w:rPr>
        <w:rFonts w:ascii="Arial" w:hAnsi="Arial" w:hint="default"/>
      </w:rPr>
    </w:lvl>
    <w:lvl w:ilvl="1" w:tplc="FFFFFFFF">
      <w:start w:val="1"/>
      <w:numFmt w:val="decimal"/>
      <w:lvlText w:val="(%2)"/>
      <w:lvlJc w:val="left"/>
      <w:pPr>
        <w:ind w:left="3240" w:hanging="360"/>
      </w:pPr>
      <w:rPr>
        <w:rFonts w:ascii="Arial" w:hAnsi="Arial"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4" w15:restartNumberingAfterBreak="0">
    <w:nsid w:val="6CD91EDB"/>
    <w:multiLevelType w:val="multilevel"/>
    <w:tmpl w:val="256CFB0A"/>
    <w:lvl w:ilvl="0">
      <w:start w:val="1"/>
      <w:numFmt w:val="upperRoman"/>
      <w:lvlText w:val="SECTION %1:"/>
      <w:lvlJc w:val="left"/>
      <w:pPr>
        <w:tabs>
          <w:tab w:val="num" w:pos="720"/>
        </w:tabs>
        <w:ind w:left="720" w:hanging="720"/>
      </w:pPr>
      <w:rPr>
        <w:rFonts w:hint="default"/>
      </w:rPr>
    </w:lvl>
    <w:lvl w:ilvl="1">
      <w:start w:val="1"/>
      <w:numFmt w:val="decimal"/>
      <w:lvlText w:val="%2"/>
      <w:lvlJc w:val="left"/>
      <w:pPr>
        <w:ind w:left="1080" w:hanging="360"/>
      </w:pPr>
      <w:rPr>
        <w:rFonts w:ascii="Arial" w:hAnsi="Arial"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lowerRoman"/>
      <w:lvlText w:val="(%8)"/>
      <w:lvlJc w:val="left"/>
      <w:pPr>
        <w:tabs>
          <w:tab w:val="num" w:pos="5760"/>
        </w:tabs>
        <w:ind w:left="5760" w:hanging="720"/>
      </w:pPr>
      <w:rPr>
        <w:rFonts w:hint="default"/>
      </w:rPr>
    </w:lvl>
    <w:lvl w:ilvl="8">
      <w:start w:val="1"/>
      <w:numFmt w:val="bullet"/>
      <w:lvlRestart w:val="0"/>
      <w:lvlText w:val=""/>
      <w:lvlJc w:val="left"/>
      <w:pPr>
        <w:tabs>
          <w:tab w:val="num" w:pos="6480"/>
        </w:tabs>
        <w:ind w:left="6480" w:hanging="720"/>
      </w:pPr>
      <w:rPr>
        <w:rFonts w:ascii="Wingdings" w:hAnsi="Wingdings" w:hint="default"/>
        <w:color w:val="000080"/>
      </w:rPr>
    </w:lvl>
  </w:abstractNum>
  <w:abstractNum w:abstractNumId="5" w15:restartNumberingAfterBreak="0">
    <w:nsid w:val="74CB5A76"/>
    <w:multiLevelType w:val="hybridMultilevel"/>
    <w:tmpl w:val="2F5AE412"/>
    <w:lvl w:ilvl="0" w:tplc="6888C6DE">
      <w:start w:val="1"/>
      <w:numFmt w:val="decimal"/>
      <w:lvlText w:val="%1."/>
      <w:lvlJc w:val="left"/>
      <w:pPr>
        <w:ind w:left="1440" w:hanging="360"/>
      </w:pPr>
      <w:rPr>
        <w:rFonts w:ascii="Arial" w:hAnsi="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71947C8"/>
    <w:multiLevelType w:val="hybridMultilevel"/>
    <w:tmpl w:val="0CB8475A"/>
    <w:lvl w:ilvl="0" w:tplc="E81030A6">
      <w:start w:val="1"/>
      <w:numFmt w:val="bullet"/>
      <w:lvlText w:val="-"/>
      <w:lvlJc w:val="left"/>
      <w:pPr>
        <w:ind w:left="2160" w:hanging="360"/>
      </w:pPr>
      <w:rPr>
        <w:rFonts w:ascii="Courier New" w:hAnsi="Courier New" w:hint="default"/>
      </w:rPr>
    </w:lvl>
    <w:lvl w:ilvl="1" w:tplc="E81030A6">
      <w:start w:val="1"/>
      <w:numFmt w:val="bullet"/>
      <w:lvlText w:val="-"/>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05612175">
    <w:abstractNumId w:val="0"/>
  </w:num>
  <w:num w:numId="2" w16cid:durableId="413358745">
    <w:abstractNumId w:val="1"/>
  </w:num>
  <w:num w:numId="3" w16cid:durableId="1082795843">
    <w:abstractNumId w:val="6"/>
  </w:num>
  <w:num w:numId="4" w16cid:durableId="962079079">
    <w:abstractNumId w:val="0"/>
  </w:num>
  <w:num w:numId="5" w16cid:durableId="37166461">
    <w:abstractNumId w:val="0"/>
  </w:num>
  <w:num w:numId="6" w16cid:durableId="569510286">
    <w:abstractNumId w:val="0"/>
  </w:num>
  <w:num w:numId="7" w16cid:durableId="14384042">
    <w:abstractNumId w:val="2"/>
  </w:num>
  <w:num w:numId="8" w16cid:durableId="2123573334">
    <w:abstractNumId w:val="3"/>
  </w:num>
  <w:num w:numId="9" w16cid:durableId="811562465">
    <w:abstractNumId w:val="0"/>
  </w:num>
  <w:num w:numId="10" w16cid:durableId="1323044847">
    <w:abstractNumId w:val="0"/>
  </w:num>
  <w:num w:numId="11" w16cid:durableId="665783185">
    <w:abstractNumId w:val="0"/>
  </w:num>
  <w:num w:numId="12" w16cid:durableId="25832585">
    <w:abstractNumId w:val="0"/>
  </w:num>
  <w:num w:numId="13" w16cid:durableId="2033921318">
    <w:abstractNumId w:val="0"/>
  </w:num>
  <w:num w:numId="14" w16cid:durableId="564536857">
    <w:abstractNumId w:val="0"/>
  </w:num>
  <w:num w:numId="15" w16cid:durableId="622926421">
    <w:abstractNumId w:val="0"/>
  </w:num>
  <w:num w:numId="16" w16cid:durableId="530218539">
    <w:abstractNumId w:val="0"/>
  </w:num>
  <w:num w:numId="17" w16cid:durableId="1873105815">
    <w:abstractNumId w:val="0"/>
  </w:num>
  <w:num w:numId="18" w16cid:durableId="449323350">
    <w:abstractNumId w:val="0"/>
  </w:num>
  <w:num w:numId="19" w16cid:durableId="1727532279">
    <w:abstractNumId w:val="4"/>
  </w:num>
  <w:num w:numId="20" w16cid:durableId="2138715458">
    <w:abstractNumId w:val="5"/>
  </w:num>
  <w:num w:numId="21" w16cid:durableId="503664324">
    <w:abstractNumId w:val="0"/>
  </w:num>
  <w:num w:numId="22" w16cid:durableId="6993454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6F"/>
    <w:rsid w:val="000006AF"/>
    <w:rsid w:val="000062FE"/>
    <w:rsid w:val="00017D16"/>
    <w:rsid w:val="000206E9"/>
    <w:rsid w:val="000238C3"/>
    <w:rsid w:val="00031C37"/>
    <w:rsid w:val="00033F87"/>
    <w:rsid w:val="00036A65"/>
    <w:rsid w:val="00051AEA"/>
    <w:rsid w:val="0008666D"/>
    <w:rsid w:val="000A0C8E"/>
    <w:rsid w:val="000B46C2"/>
    <w:rsid w:val="000C0210"/>
    <w:rsid w:val="000E33CF"/>
    <w:rsid w:val="000E7078"/>
    <w:rsid w:val="0010202C"/>
    <w:rsid w:val="00103DF6"/>
    <w:rsid w:val="0010402E"/>
    <w:rsid w:val="00112559"/>
    <w:rsid w:val="0012169B"/>
    <w:rsid w:val="00153F93"/>
    <w:rsid w:val="001544C7"/>
    <w:rsid w:val="00157C1B"/>
    <w:rsid w:val="0016249E"/>
    <w:rsid w:val="00173D8C"/>
    <w:rsid w:val="001765F6"/>
    <w:rsid w:val="0018365A"/>
    <w:rsid w:val="0019349B"/>
    <w:rsid w:val="001A4959"/>
    <w:rsid w:val="001B4B3E"/>
    <w:rsid w:val="001C3940"/>
    <w:rsid w:val="001F0822"/>
    <w:rsid w:val="001F0B06"/>
    <w:rsid w:val="001F2ADD"/>
    <w:rsid w:val="001F3699"/>
    <w:rsid w:val="0020234C"/>
    <w:rsid w:val="00202638"/>
    <w:rsid w:val="0021197F"/>
    <w:rsid w:val="00211B0A"/>
    <w:rsid w:val="0021305C"/>
    <w:rsid w:val="00240841"/>
    <w:rsid w:val="00242C7F"/>
    <w:rsid w:val="00252129"/>
    <w:rsid w:val="002817FB"/>
    <w:rsid w:val="0028332E"/>
    <w:rsid w:val="002B3816"/>
    <w:rsid w:val="002B7FA1"/>
    <w:rsid w:val="003133E8"/>
    <w:rsid w:val="00315A02"/>
    <w:rsid w:val="00320CEB"/>
    <w:rsid w:val="003236AC"/>
    <w:rsid w:val="0032556D"/>
    <w:rsid w:val="00333746"/>
    <w:rsid w:val="00337DAD"/>
    <w:rsid w:val="00342913"/>
    <w:rsid w:val="00354F7D"/>
    <w:rsid w:val="003719F1"/>
    <w:rsid w:val="00384BFB"/>
    <w:rsid w:val="003904DA"/>
    <w:rsid w:val="003A0C84"/>
    <w:rsid w:val="003A2E0D"/>
    <w:rsid w:val="003B2450"/>
    <w:rsid w:val="003C12BE"/>
    <w:rsid w:val="003C2E01"/>
    <w:rsid w:val="003C6E82"/>
    <w:rsid w:val="003E0C00"/>
    <w:rsid w:val="003E5630"/>
    <w:rsid w:val="003F3109"/>
    <w:rsid w:val="004136C6"/>
    <w:rsid w:val="004166EE"/>
    <w:rsid w:val="00425EC5"/>
    <w:rsid w:val="00441172"/>
    <w:rsid w:val="004642D9"/>
    <w:rsid w:val="00475E9B"/>
    <w:rsid w:val="004846B5"/>
    <w:rsid w:val="004A55A3"/>
    <w:rsid w:val="004A5C6F"/>
    <w:rsid w:val="004B1BBB"/>
    <w:rsid w:val="004C2A5B"/>
    <w:rsid w:val="004C3D6D"/>
    <w:rsid w:val="004D24F7"/>
    <w:rsid w:val="004D4E32"/>
    <w:rsid w:val="004E00AC"/>
    <w:rsid w:val="004E11CD"/>
    <w:rsid w:val="004E66B5"/>
    <w:rsid w:val="004F3A7D"/>
    <w:rsid w:val="004F3E04"/>
    <w:rsid w:val="0050240A"/>
    <w:rsid w:val="005237A3"/>
    <w:rsid w:val="00534862"/>
    <w:rsid w:val="00547EF9"/>
    <w:rsid w:val="005552F6"/>
    <w:rsid w:val="00561F65"/>
    <w:rsid w:val="00567AC1"/>
    <w:rsid w:val="00583414"/>
    <w:rsid w:val="0058510F"/>
    <w:rsid w:val="005B5BC2"/>
    <w:rsid w:val="005B746E"/>
    <w:rsid w:val="005C24C8"/>
    <w:rsid w:val="005C31B4"/>
    <w:rsid w:val="005C3A94"/>
    <w:rsid w:val="005D7378"/>
    <w:rsid w:val="005E0D96"/>
    <w:rsid w:val="005E185D"/>
    <w:rsid w:val="005E40AC"/>
    <w:rsid w:val="005E7D46"/>
    <w:rsid w:val="005F0A22"/>
    <w:rsid w:val="005F2C78"/>
    <w:rsid w:val="006000CB"/>
    <w:rsid w:val="00600A20"/>
    <w:rsid w:val="00602CAA"/>
    <w:rsid w:val="00615AE9"/>
    <w:rsid w:val="00622340"/>
    <w:rsid w:val="00623589"/>
    <w:rsid w:val="00625200"/>
    <w:rsid w:val="00634AB6"/>
    <w:rsid w:val="00635C14"/>
    <w:rsid w:val="00650C4F"/>
    <w:rsid w:val="00653170"/>
    <w:rsid w:val="006570AA"/>
    <w:rsid w:val="006670E9"/>
    <w:rsid w:val="006819B3"/>
    <w:rsid w:val="006834AB"/>
    <w:rsid w:val="00695EA4"/>
    <w:rsid w:val="006A0941"/>
    <w:rsid w:val="006A7BC2"/>
    <w:rsid w:val="006B1AD9"/>
    <w:rsid w:val="006B3374"/>
    <w:rsid w:val="006B3AAE"/>
    <w:rsid w:val="006B460B"/>
    <w:rsid w:val="006C5047"/>
    <w:rsid w:val="006C7152"/>
    <w:rsid w:val="006E3B1F"/>
    <w:rsid w:val="007043AB"/>
    <w:rsid w:val="00705138"/>
    <w:rsid w:val="00710D56"/>
    <w:rsid w:val="00716C29"/>
    <w:rsid w:val="00724407"/>
    <w:rsid w:val="007304B0"/>
    <w:rsid w:val="00744090"/>
    <w:rsid w:val="00773BD7"/>
    <w:rsid w:val="007775F7"/>
    <w:rsid w:val="00797827"/>
    <w:rsid w:val="007B6E9D"/>
    <w:rsid w:val="007D03C4"/>
    <w:rsid w:val="007D56F8"/>
    <w:rsid w:val="007E39F8"/>
    <w:rsid w:val="007E751B"/>
    <w:rsid w:val="007F69D7"/>
    <w:rsid w:val="00801E9D"/>
    <w:rsid w:val="00821234"/>
    <w:rsid w:val="00843F05"/>
    <w:rsid w:val="00845D45"/>
    <w:rsid w:val="00852AE7"/>
    <w:rsid w:val="00856A6B"/>
    <w:rsid w:val="00867BA6"/>
    <w:rsid w:val="00880459"/>
    <w:rsid w:val="00880ADE"/>
    <w:rsid w:val="008B223A"/>
    <w:rsid w:val="008D124F"/>
    <w:rsid w:val="008D2C01"/>
    <w:rsid w:val="008D545D"/>
    <w:rsid w:val="008F0134"/>
    <w:rsid w:val="008F2908"/>
    <w:rsid w:val="008F71DF"/>
    <w:rsid w:val="00905A93"/>
    <w:rsid w:val="00924919"/>
    <w:rsid w:val="009310EF"/>
    <w:rsid w:val="009419A6"/>
    <w:rsid w:val="009451E7"/>
    <w:rsid w:val="0095582E"/>
    <w:rsid w:val="00957EF9"/>
    <w:rsid w:val="009678C8"/>
    <w:rsid w:val="0098305A"/>
    <w:rsid w:val="00983DE8"/>
    <w:rsid w:val="0098413F"/>
    <w:rsid w:val="00986EDB"/>
    <w:rsid w:val="009A0F33"/>
    <w:rsid w:val="009D2E45"/>
    <w:rsid w:val="009D3859"/>
    <w:rsid w:val="009F21B2"/>
    <w:rsid w:val="00A122FB"/>
    <w:rsid w:val="00A20C6F"/>
    <w:rsid w:val="00A31341"/>
    <w:rsid w:val="00A360A5"/>
    <w:rsid w:val="00A74E78"/>
    <w:rsid w:val="00A81452"/>
    <w:rsid w:val="00A871A8"/>
    <w:rsid w:val="00A91912"/>
    <w:rsid w:val="00A92F97"/>
    <w:rsid w:val="00AA1D0D"/>
    <w:rsid w:val="00AA7194"/>
    <w:rsid w:val="00AC1B42"/>
    <w:rsid w:val="00AE62D6"/>
    <w:rsid w:val="00B17328"/>
    <w:rsid w:val="00B25B28"/>
    <w:rsid w:val="00B44A9F"/>
    <w:rsid w:val="00B52EF9"/>
    <w:rsid w:val="00B5408D"/>
    <w:rsid w:val="00B542ED"/>
    <w:rsid w:val="00B81D18"/>
    <w:rsid w:val="00B85AB6"/>
    <w:rsid w:val="00B935ED"/>
    <w:rsid w:val="00B94DF7"/>
    <w:rsid w:val="00BA392A"/>
    <w:rsid w:val="00BC6D65"/>
    <w:rsid w:val="00BD1696"/>
    <w:rsid w:val="00BE3BE1"/>
    <w:rsid w:val="00BE4447"/>
    <w:rsid w:val="00BE5D37"/>
    <w:rsid w:val="00BF09BE"/>
    <w:rsid w:val="00C02D14"/>
    <w:rsid w:val="00C1436C"/>
    <w:rsid w:val="00C15DF1"/>
    <w:rsid w:val="00C15E7F"/>
    <w:rsid w:val="00C267D1"/>
    <w:rsid w:val="00C47C34"/>
    <w:rsid w:val="00C5269E"/>
    <w:rsid w:val="00C65AEB"/>
    <w:rsid w:val="00C961A2"/>
    <w:rsid w:val="00CA0873"/>
    <w:rsid w:val="00CA3D5D"/>
    <w:rsid w:val="00CB3FFB"/>
    <w:rsid w:val="00CC02BA"/>
    <w:rsid w:val="00CC1D15"/>
    <w:rsid w:val="00CC4E0C"/>
    <w:rsid w:val="00CD7133"/>
    <w:rsid w:val="00CE2062"/>
    <w:rsid w:val="00CE60BF"/>
    <w:rsid w:val="00CF4117"/>
    <w:rsid w:val="00D15815"/>
    <w:rsid w:val="00D1649E"/>
    <w:rsid w:val="00D226DF"/>
    <w:rsid w:val="00D241C8"/>
    <w:rsid w:val="00D27FC3"/>
    <w:rsid w:val="00D32013"/>
    <w:rsid w:val="00D338BA"/>
    <w:rsid w:val="00D3700F"/>
    <w:rsid w:val="00D40336"/>
    <w:rsid w:val="00D43197"/>
    <w:rsid w:val="00D47F23"/>
    <w:rsid w:val="00D60651"/>
    <w:rsid w:val="00D6390A"/>
    <w:rsid w:val="00D71F7B"/>
    <w:rsid w:val="00D749F5"/>
    <w:rsid w:val="00D87AB9"/>
    <w:rsid w:val="00DA492C"/>
    <w:rsid w:val="00DA592B"/>
    <w:rsid w:val="00DA59B2"/>
    <w:rsid w:val="00DB2686"/>
    <w:rsid w:val="00DB7FF6"/>
    <w:rsid w:val="00DD0392"/>
    <w:rsid w:val="00DE5A00"/>
    <w:rsid w:val="00E00594"/>
    <w:rsid w:val="00E12FBE"/>
    <w:rsid w:val="00E3307A"/>
    <w:rsid w:val="00E346A5"/>
    <w:rsid w:val="00E36AAF"/>
    <w:rsid w:val="00E36BEF"/>
    <w:rsid w:val="00E4385C"/>
    <w:rsid w:val="00E52181"/>
    <w:rsid w:val="00E54918"/>
    <w:rsid w:val="00E71185"/>
    <w:rsid w:val="00E77BAD"/>
    <w:rsid w:val="00E86CED"/>
    <w:rsid w:val="00E97566"/>
    <w:rsid w:val="00EA1F15"/>
    <w:rsid w:val="00EB3BDD"/>
    <w:rsid w:val="00EB6365"/>
    <w:rsid w:val="00EC53BE"/>
    <w:rsid w:val="00EC6084"/>
    <w:rsid w:val="00ED554D"/>
    <w:rsid w:val="00EE3DC2"/>
    <w:rsid w:val="00EF29C5"/>
    <w:rsid w:val="00F053B1"/>
    <w:rsid w:val="00F079F4"/>
    <w:rsid w:val="00F12EC9"/>
    <w:rsid w:val="00F247CD"/>
    <w:rsid w:val="00F37BB5"/>
    <w:rsid w:val="00F43AC3"/>
    <w:rsid w:val="00F5011B"/>
    <w:rsid w:val="00F71021"/>
    <w:rsid w:val="00F71492"/>
    <w:rsid w:val="00F71CC1"/>
    <w:rsid w:val="00F81E60"/>
    <w:rsid w:val="00F9580A"/>
    <w:rsid w:val="00F9735B"/>
    <w:rsid w:val="00FB0F14"/>
    <w:rsid w:val="00FC416E"/>
    <w:rsid w:val="00FC67A8"/>
    <w:rsid w:val="00FD7195"/>
    <w:rsid w:val="00FE3E5E"/>
    <w:rsid w:val="00FE5028"/>
    <w:rsid w:val="01B84B2C"/>
    <w:rsid w:val="01BEC678"/>
    <w:rsid w:val="027BA5E2"/>
    <w:rsid w:val="042B431F"/>
    <w:rsid w:val="04EA7677"/>
    <w:rsid w:val="04FB1D06"/>
    <w:rsid w:val="054E4ABF"/>
    <w:rsid w:val="05AF5510"/>
    <w:rsid w:val="063C46F0"/>
    <w:rsid w:val="0692379B"/>
    <w:rsid w:val="070F15D3"/>
    <w:rsid w:val="075ED62C"/>
    <w:rsid w:val="076AEAD7"/>
    <w:rsid w:val="07CB3DF4"/>
    <w:rsid w:val="07E878DB"/>
    <w:rsid w:val="086B38DD"/>
    <w:rsid w:val="08D8EC87"/>
    <w:rsid w:val="08ED87D8"/>
    <w:rsid w:val="094B4BAA"/>
    <w:rsid w:val="09F8B2DC"/>
    <w:rsid w:val="0B24B7DC"/>
    <w:rsid w:val="0B8AA088"/>
    <w:rsid w:val="0BF1BBDD"/>
    <w:rsid w:val="0CE2C217"/>
    <w:rsid w:val="0DF6D8BE"/>
    <w:rsid w:val="0E68F1A6"/>
    <w:rsid w:val="0EB21B7C"/>
    <w:rsid w:val="0EE6C388"/>
    <w:rsid w:val="0F36F334"/>
    <w:rsid w:val="10386B34"/>
    <w:rsid w:val="10662BF9"/>
    <w:rsid w:val="111393CE"/>
    <w:rsid w:val="1121CDE7"/>
    <w:rsid w:val="1128AEEF"/>
    <w:rsid w:val="11740D86"/>
    <w:rsid w:val="118A8BA3"/>
    <w:rsid w:val="118B166C"/>
    <w:rsid w:val="11E9BC3E"/>
    <w:rsid w:val="12678EF4"/>
    <w:rsid w:val="127CF6C1"/>
    <w:rsid w:val="12B25BF5"/>
    <w:rsid w:val="133591C1"/>
    <w:rsid w:val="1388448E"/>
    <w:rsid w:val="140A6457"/>
    <w:rsid w:val="1423502C"/>
    <w:rsid w:val="145B7E7E"/>
    <w:rsid w:val="14BA5F4B"/>
    <w:rsid w:val="1514788A"/>
    <w:rsid w:val="15532A20"/>
    <w:rsid w:val="16D97D2F"/>
    <w:rsid w:val="175B2D76"/>
    <w:rsid w:val="17906ABD"/>
    <w:rsid w:val="179C1E58"/>
    <w:rsid w:val="17C7E8A0"/>
    <w:rsid w:val="18935C7F"/>
    <w:rsid w:val="18D72A44"/>
    <w:rsid w:val="18DDD57A"/>
    <w:rsid w:val="18EA1F9B"/>
    <w:rsid w:val="1994286B"/>
    <w:rsid w:val="19C941AC"/>
    <w:rsid w:val="19CF5E3C"/>
    <w:rsid w:val="19E2CC95"/>
    <w:rsid w:val="19F27EDD"/>
    <w:rsid w:val="1A3060CE"/>
    <w:rsid w:val="1AB1FA8A"/>
    <w:rsid w:val="1B18458C"/>
    <w:rsid w:val="1BC26BA4"/>
    <w:rsid w:val="1D28F80F"/>
    <w:rsid w:val="1D2D7BC0"/>
    <w:rsid w:val="1D337721"/>
    <w:rsid w:val="1DB45A8F"/>
    <w:rsid w:val="1DCA3D4E"/>
    <w:rsid w:val="1E15CF80"/>
    <w:rsid w:val="1E6486B7"/>
    <w:rsid w:val="1F7A6112"/>
    <w:rsid w:val="1F87735B"/>
    <w:rsid w:val="1F88699B"/>
    <w:rsid w:val="1F91AF00"/>
    <w:rsid w:val="1FAC02D8"/>
    <w:rsid w:val="21003FB7"/>
    <w:rsid w:val="212C13C9"/>
    <w:rsid w:val="2131F855"/>
    <w:rsid w:val="21675D01"/>
    <w:rsid w:val="219A75EA"/>
    <w:rsid w:val="21BEA3B8"/>
    <w:rsid w:val="21D468C8"/>
    <w:rsid w:val="21D528E1"/>
    <w:rsid w:val="21FBFEDD"/>
    <w:rsid w:val="22067606"/>
    <w:rsid w:val="22290F90"/>
    <w:rsid w:val="22D54507"/>
    <w:rsid w:val="236D0763"/>
    <w:rsid w:val="23787AB3"/>
    <w:rsid w:val="2396974C"/>
    <w:rsid w:val="23AC00C4"/>
    <w:rsid w:val="23AC9B72"/>
    <w:rsid w:val="240AA4EA"/>
    <w:rsid w:val="244F5C27"/>
    <w:rsid w:val="245EC685"/>
    <w:rsid w:val="248B5E7E"/>
    <w:rsid w:val="2521105C"/>
    <w:rsid w:val="252B7C95"/>
    <w:rsid w:val="257C55A4"/>
    <w:rsid w:val="25DFD0A5"/>
    <w:rsid w:val="25FA96E6"/>
    <w:rsid w:val="262D1636"/>
    <w:rsid w:val="26D6091A"/>
    <w:rsid w:val="271F863B"/>
    <w:rsid w:val="2795D657"/>
    <w:rsid w:val="27BE1549"/>
    <w:rsid w:val="27FC864C"/>
    <w:rsid w:val="2850B024"/>
    <w:rsid w:val="287E81C7"/>
    <w:rsid w:val="2A103957"/>
    <w:rsid w:val="2B11197A"/>
    <w:rsid w:val="2B8EA6CC"/>
    <w:rsid w:val="2D13E9A9"/>
    <w:rsid w:val="2D1F5CF9"/>
    <w:rsid w:val="2D8443AA"/>
    <w:rsid w:val="2E1FE534"/>
    <w:rsid w:val="2E5DA6A4"/>
    <w:rsid w:val="2F27E884"/>
    <w:rsid w:val="2F48E9EB"/>
    <w:rsid w:val="2F62B7B3"/>
    <w:rsid w:val="2F6B284E"/>
    <w:rsid w:val="2FFBE93B"/>
    <w:rsid w:val="30756902"/>
    <w:rsid w:val="3085C6B5"/>
    <w:rsid w:val="31270B25"/>
    <w:rsid w:val="31711DD5"/>
    <w:rsid w:val="31FF6724"/>
    <w:rsid w:val="325F9238"/>
    <w:rsid w:val="32B30231"/>
    <w:rsid w:val="32FDD298"/>
    <w:rsid w:val="32FEFDCC"/>
    <w:rsid w:val="337E7DBD"/>
    <w:rsid w:val="3481C5DB"/>
    <w:rsid w:val="34836FF4"/>
    <w:rsid w:val="34D261D7"/>
    <w:rsid w:val="35C21DB9"/>
    <w:rsid w:val="36454AFD"/>
    <w:rsid w:val="36A6D053"/>
    <w:rsid w:val="37B1BF90"/>
    <w:rsid w:val="37B9669D"/>
    <w:rsid w:val="380AB586"/>
    <w:rsid w:val="38921F77"/>
    <w:rsid w:val="38E1620E"/>
    <w:rsid w:val="3996C375"/>
    <w:rsid w:val="3A344C14"/>
    <w:rsid w:val="3AD0C389"/>
    <w:rsid w:val="3B7D0DAA"/>
    <w:rsid w:val="3BD9F297"/>
    <w:rsid w:val="3C9A389D"/>
    <w:rsid w:val="3D7C454C"/>
    <w:rsid w:val="3DE68B13"/>
    <w:rsid w:val="3E5021CB"/>
    <w:rsid w:val="3EB9114B"/>
    <w:rsid w:val="3FF3AB3B"/>
    <w:rsid w:val="405BE6AE"/>
    <w:rsid w:val="4062F512"/>
    <w:rsid w:val="4065661C"/>
    <w:rsid w:val="4093EB71"/>
    <w:rsid w:val="4150BF28"/>
    <w:rsid w:val="41A92B68"/>
    <w:rsid w:val="42FE3998"/>
    <w:rsid w:val="43CBDC1F"/>
    <w:rsid w:val="43CE5330"/>
    <w:rsid w:val="43D6EAC8"/>
    <w:rsid w:val="43E414B7"/>
    <w:rsid w:val="440A3DE9"/>
    <w:rsid w:val="451A2B03"/>
    <w:rsid w:val="45A624FF"/>
    <w:rsid w:val="465384AA"/>
    <w:rsid w:val="465D3C1E"/>
    <w:rsid w:val="4734DDD6"/>
    <w:rsid w:val="476599FE"/>
    <w:rsid w:val="48B785DA"/>
    <w:rsid w:val="495E462E"/>
    <w:rsid w:val="49931035"/>
    <w:rsid w:val="49B98CB1"/>
    <w:rsid w:val="49FC1DBE"/>
    <w:rsid w:val="4A126E2A"/>
    <w:rsid w:val="4A43B9D6"/>
    <w:rsid w:val="4ACA991F"/>
    <w:rsid w:val="4B93C55E"/>
    <w:rsid w:val="4B9E9955"/>
    <w:rsid w:val="4C9C69A1"/>
    <w:rsid w:val="4CCAB0F7"/>
    <w:rsid w:val="4CD5DD5B"/>
    <w:rsid w:val="4D1A3C57"/>
    <w:rsid w:val="4E423F3D"/>
    <w:rsid w:val="4E68B974"/>
    <w:rsid w:val="4EA8F627"/>
    <w:rsid w:val="4EB66684"/>
    <w:rsid w:val="4F9BF0F3"/>
    <w:rsid w:val="50A3B87E"/>
    <w:rsid w:val="50B048DC"/>
    <w:rsid w:val="50B42DBF"/>
    <w:rsid w:val="511F5BDB"/>
    <w:rsid w:val="518521F6"/>
    <w:rsid w:val="529C6BE6"/>
    <w:rsid w:val="52CF4FF6"/>
    <w:rsid w:val="52EBB15F"/>
    <w:rsid w:val="53B804BA"/>
    <w:rsid w:val="53C458D2"/>
    <w:rsid w:val="56617206"/>
    <w:rsid w:val="568CBE3D"/>
    <w:rsid w:val="56DE77A8"/>
    <w:rsid w:val="5820BD28"/>
    <w:rsid w:val="5839EECA"/>
    <w:rsid w:val="58965462"/>
    <w:rsid w:val="58BE20EC"/>
    <w:rsid w:val="590E6121"/>
    <w:rsid w:val="5935E65A"/>
    <w:rsid w:val="593C9E25"/>
    <w:rsid w:val="5957CB9E"/>
    <w:rsid w:val="595937F5"/>
    <w:rsid w:val="59656C00"/>
    <w:rsid w:val="5A3B16FE"/>
    <w:rsid w:val="5AEB3B32"/>
    <w:rsid w:val="5AECDC1E"/>
    <w:rsid w:val="5B1974F9"/>
    <w:rsid w:val="5C4D234D"/>
    <w:rsid w:val="5CE0D4C1"/>
    <w:rsid w:val="5CF90D59"/>
    <w:rsid w:val="5D2F2782"/>
    <w:rsid w:val="5D6BF10F"/>
    <w:rsid w:val="5E2B2816"/>
    <w:rsid w:val="5E7C7AB3"/>
    <w:rsid w:val="5EA0852E"/>
    <w:rsid w:val="5ED33584"/>
    <w:rsid w:val="5EDB230A"/>
    <w:rsid w:val="5FBB8527"/>
    <w:rsid w:val="607AE512"/>
    <w:rsid w:val="60AF481A"/>
    <w:rsid w:val="60F0DE1A"/>
    <w:rsid w:val="62682748"/>
    <w:rsid w:val="62F325E9"/>
    <w:rsid w:val="62FE9939"/>
    <w:rsid w:val="632DCB92"/>
    <w:rsid w:val="63887699"/>
    <w:rsid w:val="63A259B5"/>
    <w:rsid w:val="63D6F509"/>
    <w:rsid w:val="63EA3DF8"/>
    <w:rsid w:val="644D8F9E"/>
    <w:rsid w:val="64FFEE9C"/>
    <w:rsid w:val="65041F3E"/>
    <w:rsid w:val="65D69A78"/>
    <w:rsid w:val="67404E2E"/>
    <w:rsid w:val="67498F97"/>
    <w:rsid w:val="67B0E47B"/>
    <w:rsid w:val="6800BDB0"/>
    <w:rsid w:val="683A3808"/>
    <w:rsid w:val="689AD4C0"/>
    <w:rsid w:val="68A131A2"/>
    <w:rsid w:val="68C1F0E9"/>
    <w:rsid w:val="68EBFE0F"/>
    <w:rsid w:val="694DAD5E"/>
    <w:rsid w:val="694E072A"/>
    <w:rsid w:val="697A73C5"/>
    <w:rsid w:val="69811A84"/>
    <w:rsid w:val="6C372643"/>
    <w:rsid w:val="6C5845C3"/>
    <w:rsid w:val="6C7251B0"/>
    <w:rsid w:val="6CEC4487"/>
    <w:rsid w:val="6DCF7A88"/>
    <w:rsid w:val="6E1D7FA3"/>
    <w:rsid w:val="6E752E7F"/>
    <w:rsid w:val="6E8D73E7"/>
    <w:rsid w:val="6EE71AA4"/>
    <w:rsid w:val="6F22F4DA"/>
    <w:rsid w:val="6F2E639D"/>
    <w:rsid w:val="6F984882"/>
    <w:rsid w:val="6FFEBE40"/>
    <w:rsid w:val="7040A91B"/>
    <w:rsid w:val="70B6A223"/>
    <w:rsid w:val="71583494"/>
    <w:rsid w:val="7167ADAE"/>
    <w:rsid w:val="71A0067A"/>
    <w:rsid w:val="721152D0"/>
    <w:rsid w:val="7282347A"/>
    <w:rsid w:val="732A761C"/>
    <w:rsid w:val="73F665FD"/>
    <w:rsid w:val="74590D3D"/>
    <w:rsid w:val="7462ED6C"/>
    <w:rsid w:val="74C19254"/>
    <w:rsid w:val="75CC0F99"/>
    <w:rsid w:val="7644A91B"/>
    <w:rsid w:val="766B8004"/>
    <w:rsid w:val="768186C9"/>
    <w:rsid w:val="76DC8526"/>
    <w:rsid w:val="76FD227A"/>
    <w:rsid w:val="771B850B"/>
    <w:rsid w:val="77288BF2"/>
    <w:rsid w:val="778A7A87"/>
    <w:rsid w:val="7840A8F3"/>
    <w:rsid w:val="785A07FF"/>
    <w:rsid w:val="7893B30F"/>
    <w:rsid w:val="78D23A3E"/>
    <w:rsid w:val="78F770E6"/>
    <w:rsid w:val="7995C28E"/>
    <w:rsid w:val="799912F2"/>
    <w:rsid w:val="7AA4884E"/>
    <w:rsid w:val="7AE4CF72"/>
    <w:rsid w:val="7C913C15"/>
    <w:rsid w:val="7D047DB1"/>
    <w:rsid w:val="7E9486A1"/>
    <w:rsid w:val="7F215106"/>
    <w:rsid w:val="7FB9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B785DD"/>
  <w15:docId w15:val="{C33A2F02-6CD1-4C0C-BD54-1F825423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07A"/>
    <w:pPr>
      <w:spacing w:after="120"/>
      <w:jc w:val="both"/>
    </w:pPr>
    <w:rPr>
      <w:szCs w:val="22"/>
    </w:rPr>
  </w:style>
  <w:style w:type="paragraph" w:styleId="Heading1">
    <w:name w:val="heading 1"/>
    <w:basedOn w:val="Normal"/>
    <w:next w:val="Normal"/>
    <w:link w:val="Heading1Char"/>
    <w:autoRedefine/>
    <w:qFormat/>
    <w:rsid w:val="00240841"/>
    <w:pPr>
      <w:keepNext/>
      <w:jc w:val="center"/>
      <w:outlineLvl w:val="0"/>
    </w:pPr>
    <w:rPr>
      <w:b/>
      <w:iCs/>
      <w:caps/>
      <w:noProof/>
      <w:kern w:val="2"/>
    </w:rPr>
  </w:style>
  <w:style w:type="paragraph" w:styleId="Heading2">
    <w:name w:val="heading 2"/>
    <w:basedOn w:val="Normal"/>
    <w:next w:val="Normal"/>
    <w:link w:val="Heading2Char"/>
    <w:qFormat/>
    <w:rsid w:val="00625200"/>
    <w:pPr>
      <w:numPr>
        <w:numId w:val="1"/>
      </w:numPr>
      <w:jc w:val="left"/>
      <w:outlineLvl w:val="1"/>
    </w:pPr>
    <w:rPr>
      <w:rFonts w:ascii="Arial" w:hAnsi="Arial"/>
      <w:b/>
      <w:smallCaps/>
      <w:sz w:val="18"/>
    </w:rPr>
  </w:style>
  <w:style w:type="paragraph" w:styleId="Heading3">
    <w:name w:val="heading 3"/>
    <w:basedOn w:val="Normal"/>
    <w:next w:val="Normal"/>
    <w:link w:val="Heading3Char"/>
    <w:qFormat/>
    <w:rsid w:val="00625200"/>
    <w:pPr>
      <w:numPr>
        <w:ilvl w:val="1"/>
        <w:numId w:val="1"/>
      </w:numPr>
      <w:outlineLvl w:val="2"/>
    </w:pPr>
    <w:rPr>
      <w:rFonts w:ascii="Arial" w:hAnsi="Arial"/>
      <w:b/>
      <w:sz w:val="18"/>
    </w:rPr>
  </w:style>
  <w:style w:type="paragraph" w:styleId="Heading4">
    <w:name w:val="heading 4"/>
    <w:basedOn w:val="Normal"/>
    <w:next w:val="Normal"/>
    <w:link w:val="Heading4Char"/>
    <w:qFormat/>
    <w:rsid w:val="00625200"/>
    <w:pPr>
      <w:numPr>
        <w:ilvl w:val="2"/>
        <w:numId w:val="1"/>
      </w:numPr>
      <w:tabs>
        <w:tab w:val="center" w:pos="5400"/>
      </w:tabs>
      <w:outlineLvl w:val="3"/>
    </w:pPr>
    <w:rPr>
      <w:rFonts w:ascii="Arial" w:hAnsi="Arial"/>
      <w:sz w:val="18"/>
    </w:rPr>
  </w:style>
  <w:style w:type="paragraph" w:styleId="Heading5">
    <w:name w:val="heading 5"/>
    <w:basedOn w:val="Normal"/>
    <w:next w:val="Normal"/>
    <w:link w:val="Heading5Char"/>
    <w:qFormat/>
    <w:rsid w:val="00625200"/>
    <w:pPr>
      <w:numPr>
        <w:ilvl w:val="3"/>
        <w:numId w:val="1"/>
      </w:numPr>
      <w:outlineLvl w:val="4"/>
    </w:pPr>
    <w:rPr>
      <w:rFonts w:ascii="Arial" w:hAnsi="Arial"/>
      <w:sz w:val="18"/>
    </w:rPr>
  </w:style>
  <w:style w:type="paragraph" w:styleId="Heading6">
    <w:name w:val="heading 6"/>
    <w:basedOn w:val="Normal"/>
    <w:next w:val="Normal"/>
    <w:link w:val="Heading6Char"/>
    <w:qFormat/>
    <w:rsid w:val="00240841"/>
    <w:pPr>
      <w:numPr>
        <w:ilvl w:val="4"/>
        <w:numId w:val="1"/>
      </w:numPr>
      <w:outlineLvl w:val="5"/>
    </w:pPr>
  </w:style>
  <w:style w:type="paragraph" w:styleId="Heading7">
    <w:name w:val="heading 7"/>
    <w:basedOn w:val="Normal"/>
    <w:next w:val="Normal"/>
    <w:link w:val="Heading7Char"/>
    <w:qFormat/>
    <w:rsid w:val="00240841"/>
    <w:pPr>
      <w:numPr>
        <w:ilvl w:val="5"/>
        <w:numId w:val="1"/>
      </w:numPr>
      <w:outlineLvl w:val="6"/>
    </w:pPr>
  </w:style>
  <w:style w:type="paragraph" w:styleId="Heading8">
    <w:name w:val="heading 8"/>
    <w:basedOn w:val="Normal"/>
    <w:next w:val="Normal"/>
    <w:link w:val="Heading8Char"/>
    <w:qFormat/>
    <w:rsid w:val="00240841"/>
    <w:pPr>
      <w:numPr>
        <w:ilvl w:val="6"/>
        <w:numId w:val="1"/>
      </w:numPr>
      <w:outlineLvl w:val="7"/>
    </w:pPr>
  </w:style>
  <w:style w:type="paragraph" w:styleId="Heading9">
    <w:name w:val="heading 9"/>
    <w:basedOn w:val="Normal"/>
    <w:next w:val="Normal"/>
    <w:link w:val="Heading9Char"/>
    <w:qFormat/>
    <w:rsid w:val="00240841"/>
    <w:pPr>
      <w:keepNext/>
      <w:numPr>
        <w:ilvl w:val="7"/>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rPr>
      <w:kern w:val="2"/>
    </w:rPr>
  </w:style>
  <w:style w:type="character" w:styleId="PageNumber">
    <w:name w:val="page number"/>
    <w:basedOn w:val="DefaultParagraphFont"/>
  </w:style>
  <w:style w:type="paragraph" w:styleId="BalloonText">
    <w:name w:val="Balloon Text"/>
    <w:basedOn w:val="Normal"/>
    <w:link w:val="BalloonTextChar"/>
    <w:rsid w:val="00845D45"/>
    <w:rPr>
      <w:rFonts w:ascii="Tahoma" w:hAnsi="Tahoma" w:cs="Tahoma"/>
      <w:sz w:val="16"/>
      <w:szCs w:val="16"/>
    </w:rPr>
  </w:style>
  <w:style w:type="character" w:customStyle="1" w:styleId="BalloonTextChar">
    <w:name w:val="Balloon Text Char"/>
    <w:basedOn w:val="DefaultParagraphFont"/>
    <w:link w:val="BalloonText"/>
    <w:rsid w:val="00845D45"/>
    <w:rPr>
      <w:rFonts w:ascii="Tahoma" w:hAnsi="Tahoma" w:cs="Tahoma"/>
      <w:sz w:val="16"/>
      <w:szCs w:val="16"/>
    </w:rPr>
  </w:style>
  <w:style w:type="table" w:styleId="TableGrid">
    <w:name w:val="Table Grid"/>
    <w:basedOn w:val="TableNormal"/>
    <w:rsid w:val="0024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240841"/>
    <w:pPr>
      <w:ind w:left="1440" w:right="720"/>
    </w:pPr>
    <w:rPr>
      <w:i/>
    </w:rPr>
  </w:style>
  <w:style w:type="paragraph" w:customStyle="1" w:styleId="CenterHeading">
    <w:name w:val="Center Heading"/>
    <w:basedOn w:val="Heading1"/>
    <w:link w:val="CenterHeadingChar"/>
    <w:rsid w:val="00240841"/>
  </w:style>
  <w:style w:type="character" w:customStyle="1" w:styleId="CenterHeadingChar">
    <w:name w:val="Center Heading Char"/>
    <w:link w:val="CenterHeading"/>
    <w:rsid w:val="00240841"/>
    <w:rPr>
      <w:b/>
      <w:iCs/>
      <w:caps/>
      <w:noProof/>
      <w:kern w:val="2"/>
      <w:sz w:val="22"/>
      <w:szCs w:val="22"/>
    </w:rPr>
  </w:style>
  <w:style w:type="character" w:customStyle="1" w:styleId="Heading4Char">
    <w:name w:val="Heading 4 Char"/>
    <w:basedOn w:val="DefaultParagraphFont"/>
    <w:link w:val="Heading4"/>
    <w:rsid w:val="00625200"/>
    <w:rPr>
      <w:rFonts w:ascii="Arial" w:hAnsi="Arial"/>
      <w:sz w:val="18"/>
      <w:szCs w:val="22"/>
    </w:rPr>
  </w:style>
  <w:style w:type="character" w:customStyle="1" w:styleId="Heading5Char">
    <w:name w:val="Heading 5 Char"/>
    <w:basedOn w:val="DefaultParagraphFont"/>
    <w:link w:val="Heading5"/>
    <w:rsid w:val="00625200"/>
    <w:rPr>
      <w:rFonts w:ascii="Arial" w:hAnsi="Arial"/>
      <w:sz w:val="18"/>
      <w:szCs w:val="22"/>
    </w:rPr>
  </w:style>
  <w:style w:type="character" w:customStyle="1" w:styleId="Heading6Char">
    <w:name w:val="Heading 6 Char"/>
    <w:basedOn w:val="DefaultParagraphFont"/>
    <w:link w:val="Heading6"/>
    <w:rsid w:val="00240841"/>
    <w:rPr>
      <w:szCs w:val="22"/>
    </w:rPr>
  </w:style>
  <w:style w:type="character" w:customStyle="1" w:styleId="Heading7Char">
    <w:name w:val="Heading 7 Char"/>
    <w:basedOn w:val="DefaultParagraphFont"/>
    <w:link w:val="Heading7"/>
    <w:rsid w:val="00240841"/>
    <w:rPr>
      <w:szCs w:val="22"/>
    </w:rPr>
  </w:style>
  <w:style w:type="character" w:customStyle="1" w:styleId="Heading8Char">
    <w:name w:val="Heading 8 Char"/>
    <w:basedOn w:val="DefaultParagraphFont"/>
    <w:link w:val="Heading8"/>
    <w:rsid w:val="00240841"/>
    <w:rPr>
      <w:szCs w:val="22"/>
    </w:rPr>
  </w:style>
  <w:style w:type="character" w:customStyle="1" w:styleId="Heading9Char">
    <w:name w:val="Heading 9 Char"/>
    <w:basedOn w:val="DefaultParagraphFont"/>
    <w:link w:val="Heading9"/>
    <w:rsid w:val="00240841"/>
    <w:rPr>
      <w:szCs w:val="22"/>
    </w:rPr>
  </w:style>
  <w:style w:type="paragraph" w:styleId="TOC1">
    <w:name w:val="toc 1"/>
    <w:basedOn w:val="Normal"/>
    <w:next w:val="Normal"/>
    <w:uiPriority w:val="39"/>
    <w:rsid w:val="005E40AC"/>
    <w:pPr>
      <w:spacing w:before="120"/>
      <w:jc w:val="left"/>
    </w:pPr>
    <w:rPr>
      <w:rFonts w:ascii="Arial" w:hAnsi="Arial"/>
      <w:b/>
      <w:caps/>
      <w:color w:val="000099"/>
      <w:sz w:val="18"/>
    </w:rPr>
  </w:style>
  <w:style w:type="paragraph" w:styleId="TOC2">
    <w:name w:val="toc 2"/>
    <w:basedOn w:val="Normal"/>
    <w:next w:val="Normal"/>
    <w:uiPriority w:val="39"/>
    <w:rsid w:val="005E40AC"/>
    <w:pPr>
      <w:tabs>
        <w:tab w:val="right" w:leader="dot" w:pos="10800"/>
      </w:tabs>
      <w:spacing w:before="120"/>
      <w:ind w:left="720" w:hanging="720"/>
      <w:jc w:val="left"/>
    </w:pPr>
    <w:rPr>
      <w:rFonts w:ascii="Arial" w:hAnsi="Arial"/>
      <w:b/>
      <w:caps/>
      <w:color w:val="000099"/>
      <w:sz w:val="18"/>
    </w:rPr>
  </w:style>
  <w:style w:type="paragraph" w:styleId="ListParagraph">
    <w:name w:val="List Paragraph"/>
    <w:basedOn w:val="Normal"/>
    <w:uiPriority w:val="34"/>
    <w:qFormat/>
    <w:rsid w:val="0032556D"/>
    <w:pPr>
      <w:spacing w:after="0"/>
      <w:ind w:left="720"/>
      <w:contextualSpacing/>
      <w:jc w:val="left"/>
    </w:pPr>
    <w:rPr>
      <w:sz w:val="24"/>
      <w:szCs w:val="24"/>
    </w:rPr>
  </w:style>
  <w:style w:type="character" w:styleId="Hyperlink">
    <w:name w:val="Hyperlink"/>
    <w:basedOn w:val="DefaultParagraphFont"/>
    <w:uiPriority w:val="99"/>
    <w:unhideWhenUsed/>
    <w:rsid w:val="00F053B1"/>
    <w:rPr>
      <w:color w:val="0000FF" w:themeColor="hyperlink"/>
      <w:u w:val="single"/>
    </w:rPr>
  </w:style>
  <w:style w:type="paragraph" w:styleId="TOC3">
    <w:name w:val="toc 3"/>
    <w:basedOn w:val="Normal"/>
    <w:next w:val="Normal"/>
    <w:autoRedefine/>
    <w:uiPriority w:val="39"/>
    <w:rsid w:val="005E40AC"/>
    <w:pPr>
      <w:tabs>
        <w:tab w:val="left" w:pos="880"/>
        <w:tab w:val="right" w:leader="dot" w:pos="10790"/>
      </w:tabs>
      <w:spacing w:after="40"/>
      <w:ind w:left="360"/>
    </w:pPr>
    <w:rPr>
      <w:rFonts w:ascii="Arial" w:hAnsi="Arial"/>
      <w:noProof/>
      <w:color w:val="000099"/>
      <w:sz w:val="18"/>
    </w:rPr>
  </w:style>
  <w:style w:type="character" w:styleId="LineNumber">
    <w:name w:val="line number"/>
    <w:basedOn w:val="DefaultParagraphFont"/>
    <w:rsid w:val="00D43197"/>
  </w:style>
  <w:style w:type="paragraph" w:customStyle="1" w:styleId="StyleTOC2Before0ptAfter2pt">
    <w:name w:val="Style TOC 2 + Before:  0 pt After:  2 pt"/>
    <w:basedOn w:val="TOC2"/>
    <w:rsid w:val="00625200"/>
    <w:pPr>
      <w:spacing w:before="0" w:after="40"/>
    </w:pPr>
    <w:rPr>
      <w:bCs/>
      <w:szCs w:val="20"/>
    </w:rPr>
  </w:style>
  <w:style w:type="paragraph" w:customStyle="1" w:styleId="StyleBlockTextLeft2After2pt">
    <w:name w:val="Style Block Text + Left:  2&quot; After:  2 pt"/>
    <w:basedOn w:val="BlockText"/>
    <w:rsid w:val="000206E9"/>
    <w:pPr>
      <w:spacing w:after="40"/>
      <w:ind w:left="2880"/>
    </w:pPr>
    <w:rPr>
      <w:rFonts w:ascii="Arial" w:hAnsi="Arial"/>
      <w:iCs/>
      <w:sz w:val="18"/>
      <w:szCs w:val="20"/>
    </w:rPr>
  </w:style>
  <w:style w:type="paragraph" w:styleId="TOCHeading">
    <w:name w:val="TOC Heading"/>
    <w:basedOn w:val="Heading1"/>
    <w:next w:val="Normal"/>
    <w:uiPriority w:val="39"/>
    <w:unhideWhenUsed/>
    <w:qFormat/>
    <w:rsid w:val="001F3699"/>
    <w:pPr>
      <w:keepLines/>
      <w:spacing w:before="240" w:after="0" w:line="259" w:lineRule="auto"/>
      <w:jc w:val="left"/>
      <w:outlineLvl w:val="9"/>
    </w:pPr>
    <w:rPr>
      <w:rFonts w:asciiTheme="majorHAnsi" w:eastAsiaTheme="majorEastAsia" w:hAnsiTheme="majorHAnsi" w:cstheme="majorBidi"/>
      <w:b w:val="0"/>
      <w:iCs w:val="0"/>
      <w:caps w:val="0"/>
      <w:noProof w:val="0"/>
      <w:color w:val="365F91" w:themeColor="accent1" w:themeShade="BF"/>
      <w:kern w:val="0"/>
      <w:sz w:val="32"/>
      <w:szCs w:val="32"/>
    </w:rPr>
  </w:style>
  <w:style w:type="character" w:customStyle="1" w:styleId="Heading3Char">
    <w:name w:val="Heading 3 Char"/>
    <w:basedOn w:val="DefaultParagraphFont"/>
    <w:link w:val="Heading3"/>
    <w:rsid w:val="00173D8C"/>
    <w:rPr>
      <w:rFonts w:ascii="Arial" w:hAnsi="Arial"/>
      <w:b/>
      <w:sz w:val="18"/>
      <w:szCs w:val="22"/>
    </w:rPr>
  </w:style>
  <w:style w:type="character" w:customStyle="1" w:styleId="Heading1Char">
    <w:name w:val="Heading 1 Char"/>
    <w:basedOn w:val="DefaultParagraphFont"/>
    <w:link w:val="Heading1"/>
    <w:rsid w:val="0019349B"/>
    <w:rPr>
      <w:b/>
      <w:iCs/>
      <w:caps/>
      <w:noProof/>
      <w:kern w:val="2"/>
      <w:szCs w:val="22"/>
    </w:rPr>
  </w:style>
  <w:style w:type="character" w:customStyle="1" w:styleId="HeaderChar">
    <w:name w:val="Header Char"/>
    <w:basedOn w:val="DefaultParagraphFont"/>
    <w:link w:val="Header"/>
    <w:rsid w:val="0019349B"/>
    <w:rPr>
      <w:szCs w:val="22"/>
    </w:rPr>
  </w:style>
  <w:style w:type="character" w:customStyle="1" w:styleId="FooterChar">
    <w:name w:val="Footer Char"/>
    <w:basedOn w:val="DefaultParagraphFont"/>
    <w:link w:val="Footer"/>
    <w:rsid w:val="0019349B"/>
    <w:rPr>
      <w:szCs w:val="22"/>
    </w:rPr>
  </w:style>
  <w:style w:type="character" w:customStyle="1" w:styleId="Heading2Char">
    <w:name w:val="Heading 2 Char"/>
    <w:basedOn w:val="DefaultParagraphFont"/>
    <w:link w:val="Heading2"/>
    <w:rsid w:val="0019349B"/>
    <w:rPr>
      <w:rFonts w:ascii="Arial" w:hAnsi="Arial"/>
      <w:b/>
      <w:smallCaps/>
      <w:sz w:val="18"/>
      <w:szCs w:val="22"/>
    </w:rPr>
  </w:style>
  <w:style w:type="character" w:customStyle="1" w:styleId="BodyTextChar">
    <w:name w:val="Body Text Char"/>
    <w:basedOn w:val="DefaultParagraphFont"/>
    <w:link w:val="BodyText"/>
    <w:rsid w:val="0019349B"/>
    <w:rPr>
      <w:kern w:val="2"/>
      <w:szCs w:val="22"/>
    </w:rPr>
  </w:style>
  <w:style w:type="character" w:styleId="FollowedHyperlink">
    <w:name w:val="FollowedHyperlink"/>
    <w:basedOn w:val="DefaultParagraphFont"/>
    <w:uiPriority w:val="99"/>
    <w:semiHidden/>
    <w:unhideWhenUsed/>
    <w:rsid w:val="0019349B"/>
    <w:rPr>
      <w:color w:val="800080" w:themeColor="followedHyperlink"/>
      <w:u w:val="single"/>
    </w:r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425EC5"/>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19">
      <w:bodyDiv w:val="1"/>
      <w:marLeft w:val="0"/>
      <w:marRight w:val="0"/>
      <w:marTop w:val="0"/>
      <w:marBottom w:val="0"/>
      <w:divBdr>
        <w:top w:val="none" w:sz="0" w:space="0" w:color="auto"/>
        <w:left w:val="none" w:sz="0" w:space="0" w:color="auto"/>
        <w:bottom w:val="none" w:sz="0" w:space="0" w:color="auto"/>
        <w:right w:val="none" w:sz="0" w:space="0" w:color="auto"/>
      </w:divBdr>
    </w:div>
    <w:div w:id="5522738">
      <w:bodyDiv w:val="1"/>
      <w:marLeft w:val="0"/>
      <w:marRight w:val="0"/>
      <w:marTop w:val="0"/>
      <w:marBottom w:val="0"/>
      <w:divBdr>
        <w:top w:val="none" w:sz="0" w:space="0" w:color="auto"/>
        <w:left w:val="none" w:sz="0" w:space="0" w:color="auto"/>
        <w:bottom w:val="none" w:sz="0" w:space="0" w:color="auto"/>
        <w:right w:val="none" w:sz="0" w:space="0" w:color="auto"/>
      </w:divBdr>
    </w:div>
    <w:div w:id="23673417">
      <w:bodyDiv w:val="1"/>
      <w:marLeft w:val="0"/>
      <w:marRight w:val="0"/>
      <w:marTop w:val="0"/>
      <w:marBottom w:val="0"/>
      <w:divBdr>
        <w:top w:val="none" w:sz="0" w:space="0" w:color="auto"/>
        <w:left w:val="none" w:sz="0" w:space="0" w:color="auto"/>
        <w:bottom w:val="none" w:sz="0" w:space="0" w:color="auto"/>
        <w:right w:val="none" w:sz="0" w:space="0" w:color="auto"/>
      </w:divBdr>
    </w:div>
    <w:div w:id="116415184">
      <w:bodyDiv w:val="1"/>
      <w:marLeft w:val="0"/>
      <w:marRight w:val="0"/>
      <w:marTop w:val="0"/>
      <w:marBottom w:val="0"/>
      <w:divBdr>
        <w:top w:val="none" w:sz="0" w:space="0" w:color="auto"/>
        <w:left w:val="none" w:sz="0" w:space="0" w:color="auto"/>
        <w:bottom w:val="none" w:sz="0" w:space="0" w:color="auto"/>
        <w:right w:val="none" w:sz="0" w:space="0" w:color="auto"/>
      </w:divBdr>
    </w:div>
    <w:div w:id="116875262">
      <w:bodyDiv w:val="1"/>
      <w:marLeft w:val="0"/>
      <w:marRight w:val="0"/>
      <w:marTop w:val="0"/>
      <w:marBottom w:val="0"/>
      <w:divBdr>
        <w:top w:val="none" w:sz="0" w:space="0" w:color="auto"/>
        <w:left w:val="none" w:sz="0" w:space="0" w:color="auto"/>
        <w:bottom w:val="none" w:sz="0" w:space="0" w:color="auto"/>
        <w:right w:val="none" w:sz="0" w:space="0" w:color="auto"/>
      </w:divBdr>
    </w:div>
    <w:div w:id="123626460">
      <w:bodyDiv w:val="1"/>
      <w:marLeft w:val="0"/>
      <w:marRight w:val="0"/>
      <w:marTop w:val="0"/>
      <w:marBottom w:val="0"/>
      <w:divBdr>
        <w:top w:val="none" w:sz="0" w:space="0" w:color="auto"/>
        <w:left w:val="none" w:sz="0" w:space="0" w:color="auto"/>
        <w:bottom w:val="none" w:sz="0" w:space="0" w:color="auto"/>
        <w:right w:val="none" w:sz="0" w:space="0" w:color="auto"/>
      </w:divBdr>
    </w:div>
    <w:div w:id="125859368">
      <w:bodyDiv w:val="1"/>
      <w:marLeft w:val="0"/>
      <w:marRight w:val="0"/>
      <w:marTop w:val="0"/>
      <w:marBottom w:val="0"/>
      <w:divBdr>
        <w:top w:val="none" w:sz="0" w:space="0" w:color="auto"/>
        <w:left w:val="none" w:sz="0" w:space="0" w:color="auto"/>
        <w:bottom w:val="none" w:sz="0" w:space="0" w:color="auto"/>
        <w:right w:val="none" w:sz="0" w:space="0" w:color="auto"/>
      </w:divBdr>
    </w:div>
    <w:div w:id="129521479">
      <w:bodyDiv w:val="1"/>
      <w:marLeft w:val="0"/>
      <w:marRight w:val="0"/>
      <w:marTop w:val="0"/>
      <w:marBottom w:val="0"/>
      <w:divBdr>
        <w:top w:val="none" w:sz="0" w:space="0" w:color="auto"/>
        <w:left w:val="none" w:sz="0" w:space="0" w:color="auto"/>
        <w:bottom w:val="none" w:sz="0" w:space="0" w:color="auto"/>
        <w:right w:val="none" w:sz="0" w:space="0" w:color="auto"/>
      </w:divBdr>
    </w:div>
    <w:div w:id="132797184">
      <w:bodyDiv w:val="1"/>
      <w:marLeft w:val="0"/>
      <w:marRight w:val="0"/>
      <w:marTop w:val="0"/>
      <w:marBottom w:val="0"/>
      <w:divBdr>
        <w:top w:val="none" w:sz="0" w:space="0" w:color="auto"/>
        <w:left w:val="none" w:sz="0" w:space="0" w:color="auto"/>
        <w:bottom w:val="none" w:sz="0" w:space="0" w:color="auto"/>
        <w:right w:val="none" w:sz="0" w:space="0" w:color="auto"/>
      </w:divBdr>
    </w:div>
    <w:div w:id="148718434">
      <w:bodyDiv w:val="1"/>
      <w:marLeft w:val="0"/>
      <w:marRight w:val="0"/>
      <w:marTop w:val="0"/>
      <w:marBottom w:val="0"/>
      <w:divBdr>
        <w:top w:val="none" w:sz="0" w:space="0" w:color="auto"/>
        <w:left w:val="none" w:sz="0" w:space="0" w:color="auto"/>
        <w:bottom w:val="none" w:sz="0" w:space="0" w:color="auto"/>
        <w:right w:val="none" w:sz="0" w:space="0" w:color="auto"/>
      </w:divBdr>
    </w:div>
    <w:div w:id="157431235">
      <w:bodyDiv w:val="1"/>
      <w:marLeft w:val="0"/>
      <w:marRight w:val="0"/>
      <w:marTop w:val="0"/>
      <w:marBottom w:val="0"/>
      <w:divBdr>
        <w:top w:val="none" w:sz="0" w:space="0" w:color="auto"/>
        <w:left w:val="none" w:sz="0" w:space="0" w:color="auto"/>
        <w:bottom w:val="none" w:sz="0" w:space="0" w:color="auto"/>
        <w:right w:val="none" w:sz="0" w:space="0" w:color="auto"/>
      </w:divBdr>
    </w:div>
    <w:div w:id="161429374">
      <w:bodyDiv w:val="1"/>
      <w:marLeft w:val="0"/>
      <w:marRight w:val="0"/>
      <w:marTop w:val="0"/>
      <w:marBottom w:val="0"/>
      <w:divBdr>
        <w:top w:val="none" w:sz="0" w:space="0" w:color="auto"/>
        <w:left w:val="none" w:sz="0" w:space="0" w:color="auto"/>
        <w:bottom w:val="none" w:sz="0" w:space="0" w:color="auto"/>
        <w:right w:val="none" w:sz="0" w:space="0" w:color="auto"/>
      </w:divBdr>
    </w:div>
    <w:div w:id="169370817">
      <w:bodyDiv w:val="1"/>
      <w:marLeft w:val="0"/>
      <w:marRight w:val="0"/>
      <w:marTop w:val="0"/>
      <w:marBottom w:val="0"/>
      <w:divBdr>
        <w:top w:val="none" w:sz="0" w:space="0" w:color="auto"/>
        <w:left w:val="none" w:sz="0" w:space="0" w:color="auto"/>
        <w:bottom w:val="none" w:sz="0" w:space="0" w:color="auto"/>
        <w:right w:val="none" w:sz="0" w:space="0" w:color="auto"/>
      </w:divBdr>
    </w:div>
    <w:div w:id="184446024">
      <w:bodyDiv w:val="1"/>
      <w:marLeft w:val="0"/>
      <w:marRight w:val="0"/>
      <w:marTop w:val="0"/>
      <w:marBottom w:val="0"/>
      <w:divBdr>
        <w:top w:val="none" w:sz="0" w:space="0" w:color="auto"/>
        <w:left w:val="none" w:sz="0" w:space="0" w:color="auto"/>
        <w:bottom w:val="none" w:sz="0" w:space="0" w:color="auto"/>
        <w:right w:val="none" w:sz="0" w:space="0" w:color="auto"/>
      </w:divBdr>
    </w:div>
    <w:div w:id="190414435">
      <w:bodyDiv w:val="1"/>
      <w:marLeft w:val="0"/>
      <w:marRight w:val="0"/>
      <w:marTop w:val="0"/>
      <w:marBottom w:val="0"/>
      <w:divBdr>
        <w:top w:val="none" w:sz="0" w:space="0" w:color="auto"/>
        <w:left w:val="none" w:sz="0" w:space="0" w:color="auto"/>
        <w:bottom w:val="none" w:sz="0" w:space="0" w:color="auto"/>
        <w:right w:val="none" w:sz="0" w:space="0" w:color="auto"/>
      </w:divBdr>
    </w:div>
    <w:div w:id="195390925">
      <w:bodyDiv w:val="1"/>
      <w:marLeft w:val="0"/>
      <w:marRight w:val="0"/>
      <w:marTop w:val="0"/>
      <w:marBottom w:val="0"/>
      <w:divBdr>
        <w:top w:val="none" w:sz="0" w:space="0" w:color="auto"/>
        <w:left w:val="none" w:sz="0" w:space="0" w:color="auto"/>
        <w:bottom w:val="none" w:sz="0" w:space="0" w:color="auto"/>
        <w:right w:val="none" w:sz="0" w:space="0" w:color="auto"/>
      </w:divBdr>
    </w:div>
    <w:div w:id="201065214">
      <w:bodyDiv w:val="1"/>
      <w:marLeft w:val="0"/>
      <w:marRight w:val="0"/>
      <w:marTop w:val="0"/>
      <w:marBottom w:val="0"/>
      <w:divBdr>
        <w:top w:val="none" w:sz="0" w:space="0" w:color="auto"/>
        <w:left w:val="none" w:sz="0" w:space="0" w:color="auto"/>
        <w:bottom w:val="none" w:sz="0" w:space="0" w:color="auto"/>
        <w:right w:val="none" w:sz="0" w:space="0" w:color="auto"/>
      </w:divBdr>
    </w:div>
    <w:div w:id="228541155">
      <w:bodyDiv w:val="1"/>
      <w:marLeft w:val="0"/>
      <w:marRight w:val="0"/>
      <w:marTop w:val="0"/>
      <w:marBottom w:val="0"/>
      <w:divBdr>
        <w:top w:val="none" w:sz="0" w:space="0" w:color="auto"/>
        <w:left w:val="none" w:sz="0" w:space="0" w:color="auto"/>
        <w:bottom w:val="none" w:sz="0" w:space="0" w:color="auto"/>
        <w:right w:val="none" w:sz="0" w:space="0" w:color="auto"/>
      </w:divBdr>
    </w:div>
    <w:div w:id="241566262">
      <w:bodyDiv w:val="1"/>
      <w:marLeft w:val="0"/>
      <w:marRight w:val="0"/>
      <w:marTop w:val="0"/>
      <w:marBottom w:val="0"/>
      <w:divBdr>
        <w:top w:val="none" w:sz="0" w:space="0" w:color="auto"/>
        <w:left w:val="none" w:sz="0" w:space="0" w:color="auto"/>
        <w:bottom w:val="none" w:sz="0" w:space="0" w:color="auto"/>
        <w:right w:val="none" w:sz="0" w:space="0" w:color="auto"/>
      </w:divBdr>
    </w:div>
    <w:div w:id="244802074">
      <w:bodyDiv w:val="1"/>
      <w:marLeft w:val="0"/>
      <w:marRight w:val="0"/>
      <w:marTop w:val="0"/>
      <w:marBottom w:val="0"/>
      <w:divBdr>
        <w:top w:val="none" w:sz="0" w:space="0" w:color="auto"/>
        <w:left w:val="none" w:sz="0" w:space="0" w:color="auto"/>
        <w:bottom w:val="none" w:sz="0" w:space="0" w:color="auto"/>
        <w:right w:val="none" w:sz="0" w:space="0" w:color="auto"/>
      </w:divBdr>
    </w:div>
    <w:div w:id="267274580">
      <w:bodyDiv w:val="1"/>
      <w:marLeft w:val="0"/>
      <w:marRight w:val="0"/>
      <w:marTop w:val="0"/>
      <w:marBottom w:val="0"/>
      <w:divBdr>
        <w:top w:val="none" w:sz="0" w:space="0" w:color="auto"/>
        <w:left w:val="none" w:sz="0" w:space="0" w:color="auto"/>
        <w:bottom w:val="none" w:sz="0" w:space="0" w:color="auto"/>
        <w:right w:val="none" w:sz="0" w:space="0" w:color="auto"/>
      </w:divBdr>
    </w:div>
    <w:div w:id="277567942">
      <w:bodyDiv w:val="1"/>
      <w:marLeft w:val="0"/>
      <w:marRight w:val="0"/>
      <w:marTop w:val="0"/>
      <w:marBottom w:val="0"/>
      <w:divBdr>
        <w:top w:val="none" w:sz="0" w:space="0" w:color="auto"/>
        <w:left w:val="none" w:sz="0" w:space="0" w:color="auto"/>
        <w:bottom w:val="none" w:sz="0" w:space="0" w:color="auto"/>
        <w:right w:val="none" w:sz="0" w:space="0" w:color="auto"/>
      </w:divBdr>
    </w:div>
    <w:div w:id="335422855">
      <w:bodyDiv w:val="1"/>
      <w:marLeft w:val="0"/>
      <w:marRight w:val="0"/>
      <w:marTop w:val="0"/>
      <w:marBottom w:val="0"/>
      <w:divBdr>
        <w:top w:val="none" w:sz="0" w:space="0" w:color="auto"/>
        <w:left w:val="none" w:sz="0" w:space="0" w:color="auto"/>
        <w:bottom w:val="none" w:sz="0" w:space="0" w:color="auto"/>
        <w:right w:val="none" w:sz="0" w:space="0" w:color="auto"/>
      </w:divBdr>
    </w:div>
    <w:div w:id="339627423">
      <w:bodyDiv w:val="1"/>
      <w:marLeft w:val="0"/>
      <w:marRight w:val="0"/>
      <w:marTop w:val="0"/>
      <w:marBottom w:val="0"/>
      <w:divBdr>
        <w:top w:val="none" w:sz="0" w:space="0" w:color="auto"/>
        <w:left w:val="none" w:sz="0" w:space="0" w:color="auto"/>
        <w:bottom w:val="none" w:sz="0" w:space="0" w:color="auto"/>
        <w:right w:val="none" w:sz="0" w:space="0" w:color="auto"/>
      </w:divBdr>
    </w:div>
    <w:div w:id="362172514">
      <w:bodyDiv w:val="1"/>
      <w:marLeft w:val="0"/>
      <w:marRight w:val="0"/>
      <w:marTop w:val="0"/>
      <w:marBottom w:val="0"/>
      <w:divBdr>
        <w:top w:val="none" w:sz="0" w:space="0" w:color="auto"/>
        <w:left w:val="none" w:sz="0" w:space="0" w:color="auto"/>
        <w:bottom w:val="none" w:sz="0" w:space="0" w:color="auto"/>
        <w:right w:val="none" w:sz="0" w:space="0" w:color="auto"/>
      </w:divBdr>
    </w:div>
    <w:div w:id="367335773">
      <w:bodyDiv w:val="1"/>
      <w:marLeft w:val="0"/>
      <w:marRight w:val="0"/>
      <w:marTop w:val="0"/>
      <w:marBottom w:val="0"/>
      <w:divBdr>
        <w:top w:val="none" w:sz="0" w:space="0" w:color="auto"/>
        <w:left w:val="none" w:sz="0" w:space="0" w:color="auto"/>
        <w:bottom w:val="none" w:sz="0" w:space="0" w:color="auto"/>
        <w:right w:val="none" w:sz="0" w:space="0" w:color="auto"/>
      </w:divBdr>
    </w:div>
    <w:div w:id="370344674">
      <w:bodyDiv w:val="1"/>
      <w:marLeft w:val="0"/>
      <w:marRight w:val="0"/>
      <w:marTop w:val="0"/>
      <w:marBottom w:val="0"/>
      <w:divBdr>
        <w:top w:val="none" w:sz="0" w:space="0" w:color="auto"/>
        <w:left w:val="none" w:sz="0" w:space="0" w:color="auto"/>
        <w:bottom w:val="none" w:sz="0" w:space="0" w:color="auto"/>
        <w:right w:val="none" w:sz="0" w:space="0" w:color="auto"/>
      </w:divBdr>
    </w:div>
    <w:div w:id="376853326">
      <w:bodyDiv w:val="1"/>
      <w:marLeft w:val="0"/>
      <w:marRight w:val="0"/>
      <w:marTop w:val="0"/>
      <w:marBottom w:val="0"/>
      <w:divBdr>
        <w:top w:val="none" w:sz="0" w:space="0" w:color="auto"/>
        <w:left w:val="none" w:sz="0" w:space="0" w:color="auto"/>
        <w:bottom w:val="none" w:sz="0" w:space="0" w:color="auto"/>
        <w:right w:val="none" w:sz="0" w:space="0" w:color="auto"/>
      </w:divBdr>
    </w:div>
    <w:div w:id="377357147">
      <w:bodyDiv w:val="1"/>
      <w:marLeft w:val="0"/>
      <w:marRight w:val="0"/>
      <w:marTop w:val="0"/>
      <w:marBottom w:val="0"/>
      <w:divBdr>
        <w:top w:val="none" w:sz="0" w:space="0" w:color="auto"/>
        <w:left w:val="none" w:sz="0" w:space="0" w:color="auto"/>
        <w:bottom w:val="none" w:sz="0" w:space="0" w:color="auto"/>
        <w:right w:val="none" w:sz="0" w:space="0" w:color="auto"/>
      </w:divBdr>
    </w:div>
    <w:div w:id="386532775">
      <w:bodyDiv w:val="1"/>
      <w:marLeft w:val="0"/>
      <w:marRight w:val="0"/>
      <w:marTop w:val="0"/>
      <w:marBottom w:val="0"/>
      <w:divBdr>
        <w:top w:val="none" w:sz="0" w:space="0" w:color="auto"/>
        <w:left w:val="none" w:sz="0" w:space="0" w:color="auto"/>
        <w:bottom w:val="none" w:sz="0" w:space="0" w:color="auto"/>
        <w:right w:val="none" w:sz="0" w:space="0" w:color="auto"/>
      </w:divBdr>
    </w:div>
    <w:div w:id="390348742">
      <w:bodyDiv w:val="1"/>
      <w:marLeft w:val="0"/>
      <w:marRight w:val="0"/>
      <w:marTop w:val="0"/>
      <w:marBottom w:val="0"/>
      <w:divBdr>
        <w:top w:val="none" w:sz="0" w:space="0" w:color="auto"/>
        <w:left w:val="none" w:sz="0" w:space="0" w:color="auto"/>
        <w:bottom w:val="none" w:sz="0" w:space="0" w:color="auto"/>
        <w:right w:val="none" w:sz="0" w:space="0" w:color="auto"/>
      </w:divBdr>
    </w:div>
    <w:div w:id="402993499">
      <w:bodyDiv w:val="1"/>
      <w:marLeft w:val="0"/>
      <w:marRight w:val="0"/>
      <w:marTop w:val="0"/>
      <w:marBottom w:val="0"/>
      <w:divBdr>
        <w:top w:val="none" w:sz="0" w:space="0" w:color="auto"/>
        <w:left w:val="none" w:sz="0" w:space="0" w:color="auto"/>
        <w:bottom w:val="none" w:sz="0" w:space="0" w:color="auto"/>
        <w:right w:val="none" w:sz="0" w:space="0" w:color="auto"/>
      </w:divBdr>
    </w:div>
    <w:div w:id="407268806">
      <w:bodyDiv w:val="1"/>
      <w:marLeft w:val="0"/>
      <w:marRight w:val="0"/>
      <w:marTop w:val="0"/>
      <w:marBottom w:val="0"/>
      <w:divBdr>
        <w:top w:val="none" w:sz="0" w:space="0" w:color="auto"/>
        <w:left w:val="none" w:sz="0" w:space="0" w:color="auto"/>
        <w:bottom w:val="none" w:sz="0" w:space="0" w:color="auto"/>
        <w:right w:val="none" w:sz="0" w:space="0" w:color="auto"/>
      </w:divBdr>
    </w:div>
    <w:div w:id="407730916">
      <w:bodyDiv w:val="1"/>
      <w:marLeft w:val="0"/>
      <w:marRight w:val="0"/>
      <w:marTop w:val="0"/>
      <w:marBottom w:val="0"/>
      <w:divBdr>
        <w:top w:val="none" w:sz="0" w:space="0" w:color="auto"/>
        <w:left w:val="none" w:sz="0" w:space="0" w:color="auto"/>
        <w:bottom w:val="none" w:sz="0" w:space="0" w:color="auto"/>
        <w:right w:val="none" w:sz="0" w:space="0" w:color="auto"/>
      </w:divBdr>
    </w:div>
    <w:div w:id="447043238">
      <w:bodyDiv w:val="1"/>
      <w:marLeft w:val="0"/>
      <w:marRight w:val="0"/>
      <w:marTop w:val="0"/>
      <w:marBottom w:val="0"/>
      <w:divBdr>
        <w:top w:val="none" w:sz="0" w:space="0" w:color="auto"/>
        <w:left w:val="none" w:sz="0" w:space="0" w:color="auto"/>
        <w:bottom w:val="none" w:sz="0" w:space="0" w:color="auto"/>
        <w:right w:val="none" w:sz="0" w:space="0" w:color="auto"/>
      </w:divBdr>
    </w:div>
    <w:div w:id="448159302">
      <w:bodyDiv w:val="1"/>
      <w:marLeft w:val="0"/>
      <w:marRight w:val="0"/>
      <w:marTop w:val="0"/>
      <w:marBottom w:val="0"/>
      <w:divBdr>
        <w:top w:val="none" w:sz="0" w:space="0" w:color="auto"/>
        <w:left w:val="none" w:sz="0" w:space="0" w:color="auto"/>
        <w:bottom w:val="none" w:sz="0" w:space="0" w:color="auto"/>
        <w:right w:val="none" w:sz="0" w:space="0" w:color="auto"/>
      </w:divBdr>
    </w:div>
    <w:div w:id="487406948">
      <w:bodyDiv w:val="1"/>
      <w:marLeft w:val="0"/>
      <w:marRight w:val="0"/>
      <w:marTop w:val="0"/>
      <w:marBottom w:val="0"/>
      <w:divBdr>
        <w:top w:val="none" w:sz="0" w:space="0" w:color="auto"/>
        <w:left w:val="none" w:sz="0" w:space="0" w:color="auto"/>
        <w:bottom w:val="none" w:sz="0" w:space="0" w:color="auto"/>
        <w:right w:val="none" w:sz="0" w:space="0" w:color="auto"/>
      </w:divBdr>
    </w:div>
    <w:div w:id="490096369">
      <w:bodyDiv w:val="1"/>
      <w:marLeft w:val="0"/>
      <w:marRight w:val="0"/>
      <w:marTop w:val="0"/>
      <w:marBottom w:val="0"/>
      <w:divBdr>
        <w:top w:val="none" w:sz="0" w:space="0" w:color="auto"/>
        <w:left w:val="none" w:sz="0" w:space="0" w:color="auto"/>
        <w:bottom w:val="none" w:sz="0" w:space="0" w:color="auto"/>
        <w:right w:val="none" w:sz="0" w:space="0" w:color="auto"/>
      </w:divBdr>
    </w:div>
    <w:div w:id="503010182">
      <w:bodyDiv w:val="1"/>
      <w:marLeft w:val="0"/>
      <w:marRight w:val="0"/>
      <w:marTop w:val="0"/>
      <w:marBottom w:val="0"/>
      <w:divBdr>
        <w:top w:val="none" w:sz="0" w:space="0" w:color="auto"/>
        <w:left w:val="none" w:sz="0" w:space="0" w:color="auto"/>
        <w:bottom w:val="none" w:sz="0" w:space="0" w:color="auto"/>
        <w:right w:val="none" w:sz="0" w:space="0" w:color="auto"/>
      </w:divBdr>
    </w:div>
    <w:div w:id="523788485">
      <w:bodyDiv w:val="1"/>
      <w:marLeft w:val="0"/>
      <w:marRight w:val="0"/>
      <w:marTop w:val="0"/>
      <w:marBottom w:val="0"/>
      <w:divBdr>
        <w:top w:val="none" w:sz="0" w:space="0" w:color="auto"/>
        <w:left w:val="none" w:sz="0" w:space="0" w:color="auto"/>
        <w:bottom w:val="none" w:sz="0" w:space="0" w:color="auto"/>
        <w:right w:val="none" w:sz="0" w:space="0" w:color="auto"/>
      </w:divBdr>
    </w:div>
    <w:div w:id="531265040">
      <w:bodyDiv w:val="1"/>
      <w:marLeft w:val="0"/>
      <w:marRight w:val="0"/>
      <w:marTop w:val="0"/>
      <w:marBottom w:val="0"/>
      <w:divBdr>
        <w:top w:val="none" w:sz="0" w:space="0" w:color="auto"/>
        <w:left w:val="none" w:sz="0" w:space="0" w:color="auto"/>
        <w:bottom w:val="none" w:sz="0" w:space="0" w:color="auto"/>
        <w:right w:val="none" w:sz="0" w:space="0" w:color="auto"/>
      </w:divBdr>
    </w:div>
    <w:div w:id="534582232">
      <w:bodyDiv w:val="1"/>
      <w:marLeft w:val="0"/>
      <w:marRight w:val="0"/>
      <w:marTop w:val="0"/>
      <w:marBottom w:val="0"/>
      <w:divBdr>
        <w:top w:val="none" w:sz="0" w:space="0" w:color="auto"/>
        <w:left w:val="none" w:sz="0" w:space="0" w:color="auto"/>
        <w:bottom w:val="none" w:sz="0" w:space="0" w:color="auto"/>
        <w:right w:val="none" w:sz="0" w:space="0" w:color="auto"/>
      </w:divBdr>
    </w:div>
    <w:div w:id="537546332">
      <w:bodyDiv w:val="1"/>
      <w:marLeft w:val="0"/>
      <w:marRight w:val="0"/>
      <w:marTop w:val="0"/>
      <w:marBottom w:val="0"/>
      <w:divBdr>
        <w:top w:val="none" w:sz="0" w:space="0" w:color="auto"/>
        <w:left w:val="none" w:sz="0" w:space="0" w:color="auto"/>
        <w:bottom w:val="none" w:sz="0" w:space="0" w:color="auto"/>
        <w:right w:val="none" w:sz="0" w:space="0" w:color="auto"/>
      </w:divBdr>
    </w:div>
    <w:div w:id="548961793">
      <w:bodyDiv w:val="1"/>
      <w:marLeft w:val="0"/>
      <w:marRight w:val="0"/>
      <w:marTop w:val="0"/>
      <w:marBottom w:val="0"/>
      <w:divBdr>
        <w:top w:val="none" w:sz="0" w:space="0" w:color="auto"/>
        <w:left w:val="none" w:sz="0" w:space="0" w:color="auto"/>
        <w:bottom w:val="none" w:sz="0" w:space="0" w:color="auto"/>
        <w:right w:val="none" w:sz="0" w:space="0" w:color="auto"/>
      </w:divBdr>
    </w:div>
    <w:div w:id="558522046">
      <w:bodyDiv w:val="1"/>
      <w:marLeft w:val="0"/>
      <w:marRight w:val="0"/>
      <w:marTop w:val="0"/>
      <w:marBottom w:val="0"/>
      <w:divBdr>
        <w:top w:val="none" w:sz="0" w:space="0" w:color="auto"/>
        <w:left w:val="none" w:sz="0" w:space="0" w:color="auto"/>
        <w:bottom w:val="none" w:sz="0" w:space="0" w:color="auto"/>
        <w:right w:val="none" w:sz="0" w:space="0" w:color="auto"/>
      </w:divBdr>
    </w:div>
    <w:div w:id="577060097">
      <w:bodyDiv w:val="1"/>
      <w:marLeft w:val="0"/>
      <w:marRight w:val="0"/>
      <w:marTop w:val="0"/>
      <w:marBottom w:val="0"/>
      <w:divBdr>
        <w:top w:val="none" w:sz="0" w:space="0" w:color="auto"/>
        <w:left w:val="none" w:sz="0" w:space="0" w:color="auto"/>
        <w:bottom w:val="none" w:sz="0" w:space="0" w:color="auto"/>
        <w:right w:val="none" w:sz="0" w:space="0" w:color="auto"/>
      </w:divBdr>
    </w:div>
    <w:div w:id="590357484">
      <w:bodyDiv w:val="1"/>
      <w:marLeft w:val="0"/>
      <w:marRight w:val="0"/>
      <w:marTop w:val="0"/>
      <w:marBottom w:val="0"/>
      <w:divBdr>
        <w:top w:val="none" w:sz="0" w:space="0" w:color="auto"/>
        <w:left w:val="none" w:sz="0" w:space="0" w:color="auto"/>
        <w:bottom w:val="none" w:sz="0" w:space="0" w:color="auto"/>
        <w:right w:val="none" w:sz="0" w:space="0" w:color="auto"/>
      </w:divBdr>
    </w:div>
    <w:div w:id="602962078">
      <w:bodyDiv w:val="1"/>
      <w:marLeft w:val="0"/>
      <w:marRight w:val="0"/>
      <w:marTop w:val="0"/>
      <w:marBottom w:val="0"/>
      <w:divBdr>
        <w:top w:val="none" w:sz="0" w:space="0" w:color="auto"/>
        <w:left w:val="none" w:sz="0" w:space="0" w:color="auto"/>
        <w:bottom w:val="none" w:sz="0" w:space="0" w:color="auto"/>
        <w:right w:val="none" w:sz="0" w:space="0" w:color="auto"/>
      </w:divBdr>
    </w:div>
    <w:div w:id="612786850">
      <w:bodyDiv w:val="1"/>
      <w:marLeft w:val="0"/>
      <w:marRight w:val="0"/>
      <w:marTop w:val="0"/>
      <w:marBottom w:val="0"/>
      <w:divBdr>
        <w:top w:val="none" w:sz="0" w:space="0" w:color="auto"/>
        <w:left w:val="none" w:sz="0" w:space="0" w:color="auto"/>
        <w:bottom w:val="none" w:sz="0" w:space="0" w:color="auto"/>
        <w:right w:val="none" w:sz="0" w:space="0" w:color="auto"/>
      </w:divBdr>
    </w:div>
    <w:div w:id="631784545">
      <w:bodyDiv w:val="1"/>
      <w:marLeft w:val="0"/>
      <w:marRight w:val="0"/>
      <w:marTop w:val="0"/>
      <w:marBottom w:val="0"/>
      <w:divBdr>
        <w:top w:val="none" w:sz="0" w:space="0" w:color="auto"/>
        <w:left w:val="none" w:sz="0" w:space="0" w:color="auto"/>
        <w:bottom w:val="none" w:sz="0" w:space="0" w:color="auto"/>
        <w:right w:val="none" w:sz="0" w:space="0" w:color="auto"/>
      </w:divBdr>
    </w:div>
    <w:div w:id="638849173">
      <w:bodyDiv w:val="1"/>
      <w:marLeft w:val="0"/>
      <w:marRight w:val="0"/>
      <w:marTop w:val="0"/>
      <w:marBottom w:val="0"/>
      <w:divBdr>
        <w:top w:val="none" w:sz="0" w:space="0" w:color="auto"/>
        <w:left w:val="none" w:sz="0" w:space="0" w:color="auto"/>
        <w:bottom w:val="none" w:sz="0" w:space="0" w:color="auto"/>
        <w:right w:val="none" w:sz="0" w:space="0" w:color="auto"/>
      </w:divBdr>
    </w:div>
    <w:div w:id="639650467">
      <w:bodyDiv w:val="1"/>
      <w:marLeft w:val="0"/>
      <w:marRight w:val="0"/>
      <w:marTop w:val="0"/>
      <w:marBottom w:val="0"/>
      <w:divBdr>
        <w:top w:val="none" w:sz="0" w:space="0" w:color="auto"/>
        <w:left w:val="none" w:sz="0" w:space="0" w:color="auto"/>
        <w:bottom w:val="none" w:sz="0" w:space="0" w:color="auto"/>
        <w:right w:val="none" w:sz="0" w:space="0" w:color="auto"/>
      </w:divBdr>
    </w:div>
    <w:div w:id="647713451">
      <w:bodyDiv w:val="1"/>
      <w:marLeft w:val="0"/>
      <w:marRight w:val="0"/>
      <w:marTop w:val="0"/>
      <w:marBottom w:val="0"/>
      <w:divBdr>
        <w:top w:val="none" w:sz="0" w:space="0" w:color="auto"/>
        <w:left w:val="none" w:sz="0" w:space="0" w:color="auto"/>
        <w:bottom w:val="none" w:sz="0" w:space="0" w:color="auto"/>
        <w:right w:val="none" w:sz="0" w:space="0" w:color="auto"/>
      </w:divBdr>
    </w:div>
    <w:div w:id="699820762">
      <w:bodyDiv w:val="1"/>
      <w:marLeft w:val="0"/>
      <w:marRight w:val="0"/>
      <w:marTop w:val="0"/>
      <w:marBottom w:val="0"/>
      <w:divBdr>
        <w:top w:val="none" w:sz="0" w:space="0" w:color="auto"/>
        <w:left w:val="none" w:sz="0" w:space="0" w:color="auto"/>
        <w:bottom w:val="none" w:sz="0" w:space="0" w:color="auto"/>
        <w:right w:val="none" w:sz="0" w:space="0" w:color="auto"/>
      </w:divBdr>
    </w:div>
    <w:div w:id="714358163">
      <w:bodyDiv w:val="1"/>
      <w:marLeft w:val="0"/>
      <w:marRight w:val="0"/>
      <w:marTop w:val="0"/>
      <w:marBottom w:val="0"/>
      <w:divBdr>
        <w:top w:val="none" w:sz="0" w:space="0" w:color="auto"/>
        <w:left w:val="none" w:sz="0" w:space="0" w:color="auto"/>
        <w:bottom w:val="none" w:sz="0" w:space="0" w:color="auto"/>
        <w:right w:val="none" w:sz="0" w:space="0" w:color="auto"/>
      </w:divBdr>
    </w:div>
    <w:div w:id="722872483">
      <w:bodyDiv w:val="1"/>
      <w:marLeft w:val="0"/>
      <w:marRight w:val="0"/>
      <w:marTop w:val="0"/>
      <w:marBottom w:val="0"/>
      <w:divBdr>
        <w:top w:val="none" w:sz="0" w:space="0" w:color="auto"/>
        <w:left w:val="none" w:sz="0" w:space="0" w:color="auto"/>
        <w:bottom w:val="none" w:sz="0" w:space="0" w:color="auto"/>
        <w:right w:val="none" w:sz="0" w:space="0" w:color="auto"/>
      </w:divBdr>
    </w:div>
    <w:div w:id="738984335">
      <w:bodyDiv w:val="1"/>
      <w:marLeft w:val="0"/>
      <w:marRight w:val="0"/>
      <w:marTop w:val="0"/>
      <w:marBottom w:val="0"/>
      <w:divBdr>
        <w:top w:val="none" w:sz="0" w:space="0" w:color="auto"/>
        <w:left w:val="none" w:sz="0" w:space="0" w:color="auto"/>
        <w:bottom w:val="none" w:sz="0" w:space="0" w:color="auto"/>
        <w:right w:val="none" w:sz="0" w:space="0" w:color="auto"/>
      </w:divBdr>
    </w:div>
    <w:div w:id="748691719">
      <w:bodyDiv w:val="1"/>
      <w:marLeft w:val="0"/>
      <w:marRight w:val="0"/>
      <w:marTop w:val="0"/>
      <w:marBottom w:val="0"/>
      <w:divBdr>
        <w:top w:val="none" w:sz="0" w:space="0" w:color="auto"/>
        <w:left w:val="none" w:sz="0" w:space="0" w:color="auto"/>
        <w:bottom w:val="none" w:sz="0" w:space="0" w:color="auto"/>
        <w:right w:val="none" w:sz="0" w:space="0" w:color="auto"/>
      </w:divBdr>
    </w:div>
    <w:div w:id="758066912">
      <w:bodyDiv w:val="1"/>
      <w:marLeft w:val="0"/>
      <w:marRight w:val="0"/>
      <w:marTop w:val="0"/>
      <w:marBottom w:val="0"/>
      <w:divBdr>
        <w:top w:val="none" w:sz="0" w:space="0" w:color="auto"/>
        <w:left w:val="none" w:sz="0" w:space="0" w:color="auto"/>
        <w:bottom w:val="none" w:sz="0" w:space="0" w:color="auto"/>
        <w:right w:val="none" w:sz="0" w:space="0" w:color="auto"/>
      </w:divBdr>
    </w:div>
    <w:div w:id="761216946">
      <w:bodyDiv w:val="1"/>
      <w:marLeft w:val="0"/>
      <w:marRight w:val="0"/>
      <w:marTop w:val="0"/>
      <w:marBottom w:val="0"/>
      <w:divBdr>
        <w:top w:val="none" w:sz="0" w:space="0" w:color="auto"/>
        <w:left w:val="none" w:sz="0" w:space="0" w:color="auto"/>
        <w:bottom w:val="none" w:sz="0" w:space="0" w:color="auto"/>
        <w:right w:val="none" w:sz="0" w:space="0" w:color="auto"/>
      </w:divBdr>
    </w:div>
    <w:div w:id="769202462">
      <w:bodyDiv w:val="1"/>
      <w:marLeft w:val="0"/>
      <w:marRight w:val="0"/>
      <w:marTop w:val="0"/>
      <w:marBottom w:val="0"/>
      <w:divBdr>
        <w:top w:val="none" w:sz="0" w:space="0" w:color="auto"/>
        <w:left w:val="none" w:sz="0" w:space="0" w:color="auto"/>
        <w:bottom w:val="none" w:sz="0" w:space="0" w:color="auto"/>
        <w:right w:val="none" w:sz="0" w:space="0" w:color="auto"/>
      </w:divBdr>
    </w:div>
    <w:div w:id="794250067">
      <w:bodyDiv w:val="1"/>
      <w:marLeft w:val="0"/>
      <w:marRight w:val="0"/>
      <w:marTop w:val="0"/>
      <w:marBottom w:val="0"/>
      <w:divBdr>
        <w:top w:val="none" w:sz="0" w:space="0" w:color="auto"/>
        <w:left w:val="none" w:sz="0" w:space="0" w:color="auto"/>
        <w:bottom w:val="none" w:sz="0" w:space="0" w:color="auto"/>
        <w:right w:val="none" w:sz="0" w:space="0" w:color="auto"/>
      </w:divBdr>
    </w:div>
    <w:div w:id="812866701">
      <w:bodyDiv w:val="1"/>
      <w:marLeft w:val="0"/>
      <w:marRight w:val="0"/>
      <w:marTop w:val="0"/>
      <w:marBottom w:val="0"/>
      <w:divBdr>
        <w:top w:val="none" w:sz="0" w:space="0" w:color="auto"/>
        <w:left w:val="none" w:sz="0" w:space="0" w:color="auto"/>
        <w:bottom w:val="none" w:sz="0" w:space="0" w:color="auto"/>
        <w:right w:val="none" w:sz="0" w:space="0" w:color="auto"/>
      </w:divBdr>
    </w:div>
    <w:div w:id="821433210">
      <w:bodyDiv w:val="1"/>
      <w:marLeft w:val="0"/>
      <w:marRight w:val="0"/>
      <w:marTop w:val="0"/>
      <w:marBottom w:val="0"/>
      <w:divBdr>
        <w:top w:val="none" w:sz="0" w:space="0" w:color="auto"/>
        <w:left w:val="none" w:sz="0" w:space="0" w:color="auto"/>
        <w:bottom w:val="none" w:sz="0" w:space="0" w:color="auto"/>
        <w:right w:val="none" w:sz="0" w:space="0" w:color="auto"/>
      </w:divBdr>
    </w:div>
    <w:div w:id="823205252">
      <w:bodyDiv w:val="1"/>
      <w:marLeft w:val="0"/>
      <w:marRight w:val="0"/>
      <w:marTop w:val="0"/>
      <w:marBottom w:val="0"/>
      <w:divBdr>
        <w:top w:val="none" w:sz="0" w:space="0" w:color="auto"/>
        <w:left w:val="none" w:sz="0" w:space="0" w:color="auto"/>
        <w:bottom w:val="none" w:sz="0" w:space="0" w:color="auto"/>
        <w:right w:val="none" w:sz="0" w:space="0" w:color="auto"/>
      </w:divBdr>
    </w:div>
    <w:div w:id="827596152">
      <w:bodyDiv w:val="1"/>
      <w:marLeft w:val="0"/>
      <w:marRight w:val="0"/>
      <w:marTop w:val="0"/>
      <w:marBottom w:val="0"/>
      <w:divBdr>
        <w:top w:val="none" w:sz="0" w:space="0" w:color="auto"/>
        <w:left w:val="none" w:sz="0" w:space="0" w:color="auto"/>
        <w:bottom w:val="none" w:sz="0" w:space="0" w:color="auto"/>
        <w:right w:val="none" w:sz="0" w:space="0" w:color="auto"/>
      </w:divBdr>
    </w:div>
    <w:div w:id="839542544">
      <w:bodyDiv w:val="1"/>
      <w:marLeft w:val="0"/>
      <w:marRight w:val="0"/>
      <w:marTop w:val="0"/>
      <w:marBottom w:val="0"/>
      <w:divBdr>
        <w:top w:val="none" w:sz="0" w:space="0" w:color="auto"/>
        <w:left w:val="none" w:sz="0" w:space="0" w:color="auto"/>
        <w:bottom w:val="none" w:sz="0" w:space="0" w:color="auto"/>
        <w:right w:val="none" w:sz="0" w:space="0" w:color="auto"/>
      </w:divBdr>
    </w:div>
    <w:div w:id="853493189">
      <w:bodyDiv w:val="1"/>
      <w:marLeft w:val="0"/>
      <w:marRight w:val="0"/>
      <w:marTop w:val="0"/>
      <w:marBottom w:val="0"/>
      <w:divBdr>
        <w:top w:val="none" w:sz="0" w:space="0" w:color="auto"/>
        <w:left w:val="none" w:sz="0" w:space="0" w:color="auto"/>
        <w:bottom w:val="none" w:sz="0" w:space="0" w:color="auto"/>
        <w:right w:val="none" w:sz="0" w:space="0" w:color="auto"/>
      </w:divBdr>
    </w:div>
    <w:div w:id="867643773">
      <w:bodyDiv w:val="1"/>
      <w:marLeft w:val="0"/>
      <w:marRight w:val="0"/>
      <w:marTop w:val="0"/>
      <w:marBottom w:val="0"/>
      <w:divBdr>
        <w:top w:val="none" w:sz="0" w:space="0" w:color="auto"/>
        <w:left w:val="none" w:sz="0" w:space="0" w:color="auto"/>
        <w:bottom w:val="none" w:sz="0" w:space="0" w:color="auto"/>
        <w:right w:val="none" w:sz="0" w:space="0" w:color="auto"/>
      </w:divBdr>
    </w:div>
    <w:div w:id="879363474">
      <w:bodyDiv w:val="1"/>
      <w:marLeft w:val="0"/>
      <w:marRight w:val="0"/>
      <w:marTop w:val="0"/>
      <w:marBottom w:val="0"/>
      <w:divBdr>
        <w:top w:val="none" w:sz="0" w:space="0" w:color="auto"/>
        <w:left w:val="none" w:sz="0" w:space="0" w:color="auto"/>
        <w:bottom w:val="none" w:sz="0" w:space="0" w:color="auto"/>
        <w:right w:val="none" w:sz="0" w:space="0" w:color="auto"/>
      </w:divBdr>
    </w:div>
    <w:div w:id="889652867">
      <w:bodyDiv w:val="1"/>
      <w:marLeft w:val="0"/>
      <w:marRight w:val="0"/>
      <w:marTop w:val="0"/>
      <w:marBottom w:val="0"/>
      <w:divBdr>
        <w:top w:val="none" w:sz="0" w:space="0" w:color="auto"/>
        <w:left w:val="none" w:sz="0" w:space="0" w:color="auto"/>
        <w:bottom w:val="none" w:sz="0" w:space="0" w:color="auto"/>
        <w:right w:val="none" w:sz="0" w:space="0" w:color="auto"/>
      </w:divBdr>
    </w:div>
    <w:div w:id="905577378">
      <w:bodyDiv w:val="1"/>
      <w:marLeft w:val="0"/>
      <w:marRight w:val="0"/>
      <w:marTop w:val="0"/>
      <w:marBottom w:val="0"/>
      <w:divBdr>
        <w:top w:val="none" w:sz="0" w:space="0" w:color="auto"/>
        <w:left w:val="none" w:sz="0" w:space="0" w:color="auto"/>
        <w:bottom w:val="none" w:sz="0" w:space="0" w:color="auto"/>
        <w:right w:val="none" w:sz="0" w:space="0" w:color="auto"/>
      </w:divBdr>
    </w:div>
    <w:div w:id="905606671">
      <w:bodyDiv w:val="1"/>
      <w:marLeft w:val="0"/>
      <w:marRight w:val="0"/>
      <w:marTop w:val="0"/>
      <w:marBottom w:val="0"/>
      <w:divBdr>
        <w:top w:val="none" w:sz="0" w:space="0" w:color="auto"/>
        <w:left w:val="none" w:sz="0" w:space="0" w:color="auto"/>
        <w:bottom w:val="none" w:sz="0" w:space="0" w:color="auto"/>
        <w:right w:val="none" w:sz="0" w:space="0" w:color="auto"/>
      </w:divBdr>
    </w:div>
    <w:div w:id="907570145">
      <w:bodyDiv w:val="1"/>
      <w:marLeft w:val="0"/>
      <w:marRight w:val="0"/>
      <w:marTop w:val="0"/>
      <w:marBottom w:val="0"/>
      <w:divBdr>
        <w:top w:val="none" w:sz="0" w:space="0" w:color="auto"/>
        <w:left w:val="none" w:sz="0" w:space="0" w:color="auto"/>
        <w:bottom w:val="none" w:sz="0" w:space="0" w:color="auto"/>
        <w:right w:val="none" w:sz="0" w:space="0" w:color="auto"/>
      </w:divBdr>
    </w:div>
    <w:div w:id="920336634">
      <w:bodyDiv w:val="1"/>
      <w:marLeft w:val="0"/>
      <w:marRight w:val="0"/>
      <w:marTop w:val="0"/>
      <w:marBottom w:val="0"/>
      <w:divBdr>
        <w:top w:val="none" w:sz="0" w:space="0" w:color="auto"/>
        <w:left w:val="none" w:sz="0" w:space="0" w:color="auto"/>
        <w:bottom w:val="none" w:sz="0" w:space="0" w:color="auto"/>
        <w:right w:val="none" w:sz="0" w:space="0" w:color="auto"/>
      </w:divBdr>
    </w:div>
    <w:div w:id="936015051">
      <w:bodyDiv w:val="1"/>
      <w:marLeft w:val="0"/>
      <w:marRight w:val="0"/>
      <w:marTop w:val="0"/>
      <w:marBottom w:val="0"/>
      <w:divBdr>
        <w:top w:val="none" w:sz="0" w:space="0" w:color="auto"/>
        <w:left w:val="none" w:sz="0" w:space="0" w:color="auto"/>
        <w:bottom w:val="none" w:sz="0" w:space="0" w:color="auto"/>
        <w:right w:val="none" w:sz="0" w:space="0" w:color="auto"/>
      </w:divBdr>
    </w:div>
    <w:div w:id="949967364">
      <w:bodyDiv w:val="1"/>
      <w:marLeft w:val="0"/>
      <w:marRight w:val="0"/>
      <w:marTop w:val="0"/>
      <w:marBottom w:val="0"/>
      <w:divBdr>
        <w:top w:val="none" w:sz="0" w:space="0" w:color="auto"/>
        <w:left w:val="none" w:sz="0" w:space="0" w:color="auto"/>
        <w:bottom w:val="none" w:sz="0" w:space="0" w:color="auto"/>
        <w:right w:val="none" w:sz="0" w:space="0" w:color="auto"/>
      </w:divBdr>
    </w:div>
    <w:div w:id="950549304">
      <w:bodyDiv w:val="1"/>
      <w:marLeft w:val="0"/>
      <w:marRight w:val="0"/>
      <w:marTop w:val="0"/>
      <w:marBottom w:val="0"/>
      <w:divBdr>
        <w:top w:val="none" w:sz="0" w:space="0" w:color="auto"/>
        <w:left w:val="none" w:sz="0" w:space="0" w:color="auto"/>
        <w:bottom w:val="none" w:sz="0" w:space="0" w:color="auto"/>
        <w:right w:val="none" w:sz="0" w:space="0" w:color="auto"/>
      </w:divBdr>
    </w:div>
    <w:div w:id="961038210">
      <w:bodyDiv w:val="1"/>
      <w:marLeft w:val="0"/>
      <w:marRight w:val="0"/>
      <w:marTop w:val="0"/>
      <w:marBottom w:val="0"/>
      <w:divBdr>
        <w:top w:val="none" w:sz="0" w:space="0" w:color="auto"/>
        <w:left w:val="none" w:sz="0" w:space="0" w:color="auto"/>
        <w:bottom w:val="none" w:sz="0" w:space="0" w:color="auto"/>
        <w:right w:val="none" w:sz="0" w:space="0" w:color="auto"/>
      </w:divBdr>
    </w:div>
    <w:div w:id="966160606">
      <w:bodyDiv w:val="1"/>
      <w:marLeft w:val="0"/>
      <w:marRight w:val="0"/>
      <w:marTop w:val="0"/>
      <w:marBottom w:val="0"/>
      <w:divBdr>
        <w:top w:val="none" w:sz="0" w:space="0" w:color="auto"/>
        <w:left w:val="none" w:sz="0" w:space="0" w:color="auto"/>
        <w:bottom w:val="none" w:sz="0" w:space="0" w:color="auto"/>
        <w:right w:val="none" w:sz="0" w:space="0" w:color="auto"/>
      </w:divBdr>
    </w:div>
    <w:div w:id="975914831">
      <w:bodyDiv w:val="1"/>
      <w:marLeft w:val="0"/>
      <w:marRight w:val="0"/>
      <w:marTop w:val="0"/>
      <w:marBottom w:val="0"/>
      <w:divBdr>
        <w:top w:val="none" w:sz="0" w:space="0" w:color="auto"/>
        <w:left w:val="none" w:sz="0" w:space="0" w:color="auto"/>
        <w:bottom w:val="none" w:sz="0" w:space="0" w:color="auto"/>
        <w:right w:val="none" w:sz="0" w:space="0" w:color="auto"/>
      </w:divBdr>
    </w:div>
    <w:div w:id="997224862">
      <w:bodyDiv w:val="1"/>
      <w:marLeft w:val="0"/>
      <w:marRight w:val="0"/>
      <w:marTop w:val="0"/>
      <w:marBottom w:val="0"/>
      <w:divBdr>
        <w:top w:val="none" w:sz="0" w:space="0" w:color="auto"/>
        <w:left w:val="none" w:sz="0" w:space="0" w:color="auto"/>
        <w:bottom w:val="none" w:sz="0" w:space="0" w:color="auto"/>
        <w:right w:val="none" w:sz="0" w:space="0" w:color="auto"/>
      </w:divBdr>
    </w:div>
    <w:div w:id="997851747">
      <w:bodyDiv w:val="1"/>
      <w:marLeft w:val="0"/>
      <w:marRight w:val="0"/>
      <w:marTop w:val="0"/>
      <w:marBottom w:val="0"/>
      <w:divBdr>
        <w:top w:val="none" w:sz="0" w:space="0" w:color="auto"/>
        <w:left w:val="none" w:sz="0" w:space="0" w:color="auto"/>
        <w:bottom w:val="none" w:sz="0" w:space="0" w:color="auto"/>
        <w:right w:val="none" w:sz="0" w:space="0" w:color="auto"/>
      </w:divBdr>
    </w:div>
    <w:div w:id="1008603833">
      <w:bodyDiv w:val="1"/>
      <w:marLeft w:val="0"/>
      <w:marRight w:val="0"/>
      <w:marTop w:val="0"/>
      <w:marBottom w:val="0"/>
      <w:divBdr>
        <w:top w:val="none" w:sz="0" w:space="0" w:color="auto"/>
        <w:left w:val="none" w:sz="0" w:space="0" w:color="auto"/>
        <w:bottom w:val="none" w:sz="0" w:space="0" w:color="auto"/>
        <w:right w:val="none" w:sz="0" w:space="0" w:color="auto"/>
      </w:divBdr>
    </w:div>
    <w:div w:id="1032417104">
      <w:bodyDiv w:val="1"/>
      <w:marLeft w:val="0"/>
      <w:marRight w:val="0"/>
      <w:marTop w:val="0"/>
      <w:marBottom w:val="0"/>
      <w:divBdr>
        <w:top w:val="none" w:sz="0" w:space="0" w:color="auto"/>
        <w:left w:val="none" w:sz="0" w:space="0" w:color="auto"/>
        <w:bottom w:val="none" w:sz="0" w:space="0" w:color="auto"/>
        <w:right w:val="none" w:sz="0" w:space="0" w:color="auto"/>
      </w:divBdr>
    </w:div>
    <w:div w:id="1053504774">
      <w:bodyDiv w:val="1"/>
      <w:marLeft w:val="0"/>
      <w:marRight w:val="0"/>
      <w:marTop w:val="0"/>
      <w:marBottom w:val="0"/>
      <w:divBdr>
        <w:top w:val="none" w:sz="0" w:space="0" w:color="auto"/>
        <w:left w:val="none" w:sz="0" w:space="0" w:color="auto"/>
        <w:bottom w:val="none" w:sz="0" w:space="0" w:color="auto"/>
        <w:right w:val="none" w:sz="0" w:space="0" w:color="auto"/>
      </w:divBdr>
    </w:div>
    <w:div w:id="1071007083">
      <w:bodyDiv w:val="1"/>
      <w:marLeft w:val="0"/>
      <w:marRight w:val="0"/>
      <w:marTop w:val="0"/>
      <w:marBottom w:val="0"/>
      <w:divBdr>
        <w:top w:val="none" w:sz="0" w:space="0" w:color="auto"/>
        <w:left w:val="none" w:sz="0" w:space="0" w:color="auto"/>
        <w:bottom w:val="none" w:sz="0" w:space="0" w:color="auto"/>
        <w:right w:val="none" w:sz="0" w:space="0" w:color="auto"/>
      </w:divBdr>
    </w:div>
    <w:div w:id="1094085838">
      <w:bodyDiv w:val="1"/>
      <w:marLeft w:val="0"/>
      <w:marRight w:val="0"/>
      <w:marTop w:val="0"/>
      <w:marBottom w:val="0"/>
      <w:divBdr>
        <w:top w:val="none" w:sz="0" w:space="0" w:color="auto"/>
        <w:left w:val="none" w:sz="0" w:space="0" w:color="auto"/>
        <w:bottom w:val="none" w:sz="0" w:space="0" w:color="auto"/>
        <w:right w:val="none" w:sz="0" w:space="0" w:color="auto"/>
      </w:divBdr>
    </w:div>
    <w:div w:id="1099641233">
      <w:bodyDiv w:val="1"/>
      <w:marLeft w:val="0"/>
      <w:marRight w:val="0"/>
      <w:marTop w:val="0"/>
      <w:marBottom w:val="0"/>
      <w:divBdr>
        <w:top w:val="none" w:sz="0" w:space="0" w:color="auto"/>
        <w:left w:val="none" w:sz="0" w:space="0" w:color="auto"/>
        <w:bottom w:val="none" w:sz="0" w:space="0" w:color="auto"/>
        <w:right w:val="none" w:sz="0" w:space="0" w:color="auto"/>
      </w:divBdr>
    </w:div>
    <w:div w:id="1100566803">
      <w:bodyDiv w:val="1"/>
      <w:marLeft w:val="0"/>
      <w:marRight w:val="0"/>
      <w:marTop w:val="0"/>
      <w:marBottom w:val="0"/>
      <w:divBdr>
        <w:top w:val="none" w:sz="0" w:space="0" w:color="auto"/>
        <w:left w:val="none" w:sz="0" w:space="0" w:color="auto"/>
        <w:bottom w:val="none" w:sz="0" w:space="0" w:color="auto"/>
        <w:right w:val="none" w:sz="0" w:space="0" w:color="auto"/>
      </w:divBdr>
    </w:div>
    <w:div w:id="1123379812">
      <w:bodyDiv w:val="1"/>
      <w:marLeft w:val="0"/>
      <w:marRight w:val="0"/>
      <w:marTop w:val="0"/>
      <w:marBottom w:val="0"/>
      <w:divBdr>
        <w:top w:val="none" w:sz="0" w:space="0" w:color="auto"/>
        <w:left w:val="none" w:sz="0" w:space="0" w:color="auto"/>
        <w:bottom w:val="none" w:sz="0" w:space="0" w:color="auto"/>
        <w:right w:val="none" w:sz="0" w:space="0" w:color="auto"/>
      </w:divBdr>
    </w:div>
    <w:div w:id="1137380094">
      <w:bodyDiv w:val="1"/>
      <w:marLeft w:val="0"/>
      <w:marRight w:val="0"/>
      <w:marTop w:val="0"/>
      <w:marBottom w:val="0"/>
      <w:divBdr>
        <w:top w:val="none" w:sz="0" w:space="0" w:color="auto"/>
        <w:left w:val="none" w:sz="0" w:space="0" w:color="auto"/>
        <w:bottom w:val="none" w:sz="0" w:space="0" w:color="auto"/>
        <w:right w:val="none" w:sz="0" w:space="0" w:color="auto"/>
      </w:divBdr>
    </w:div>
    <w:div w:id="1138033736">
      <w:bodyDiv w:val="1"/>
      <w:marLeft w:val="0"/>
      <w:marRight w:val="0"/>
      <w:marTop w:val="0"/>
      <w:marBottom w:val="0"/>
      <w:divBdr>
        <w:top w:val="none" w:sz="0" w:space="0" w:color="auto"/>
        <w:left w:val="none" w:sz="0" w:space="0" w:color="auto"/>
        <w:bottom w:val="none" w:sz="0" w:space="0" w:color="auto"/>
        <w:right w:val="none" w:sz="0" w:space="0" w:color="auto"/>
      </w:divBdr>
    </w:div>
    <w:div w:id="1184321706">
      <w:bodyDiv w:val="1"/>
      <w:marLeft w:val="0"/>
      <w:marRight w:val="0"/>
      <w:marTop w:val="0"/>
      <w:marBottom w:val="0"/>
      <w:divBdr>
        <w:top w:val="none" w:sz="0" w:space="0" w:color="auto"/>
        <w:left w:val="none" w:sz="0" w:space="0" w:color="auto"/>
        <w:bottom w:val="none" w:sz="0" w:space="0" w:color="auto"/>
        <w:right w:val="none" w:sz="0" w:space="0" w:color="auto"/>
      </w:divBdr>
    </w:div>
    <w:div w:id="1241793374">
      <w:bodyDiv w:val="1"/>
      <w:marLeft w:val="0"/>
      <w:marRight w:val="0"/>
      <w:marTop w:val="0"/>
      <w:marBottom w:val="0"/>
      <w:divBdr>
        <w:top w:val="none" w:sz="0" w:space="0" w:color="auto"/>
        <w:left w:val="none" w:sz="0" w:space="0" w:color="auto"/>
        <w:bottom w:val="none" w:sz="0" w:space="0" w:color="auto"/>
        <w:right w:val="none" w:sz="0" w:space="0" w:color="auto"/>
      </w:divBdr>
    </w:div>
    <w:div w:id="1249385360">
      <w:bodyDiv w:val="1"/>
      <w:marLeft w:val="0"/>
      <w:marRight w:val="0"/>
      <w:marTop w:val="0"/>
      <w:marBottom w:val="0"/>
      <w:divBdr>
        <w:top w:val="none" w:sz="0" w:space="0" w:color="auto"/>
        <w:left w:val="none" w:sz="0" w:space="0" w:color="auto"/>
        <w:bottom w:val="none" w:sz="0" w:space="0" w:color="auto"/>
        <w:right w:val="none" w:sz="0" w:space="0" w:color="auto"/>
      </w:divBdr>
    </w:div>
    <w:div w:id="1252424853">
      <w:bodyDiv w:val="1"/>
      <w:marLeft w:val="0"/>
      <w:marRight w:val="0"/>
      <w:marTop w:val="0"/>
      <w:marBottom w:val="0"/>
      <w:divBdr>
        <w:top w:val="none" w:sz="0" w:space="0" w:color="auto"/>
        <w:left w:val="none" w:sz="0" w:space="0" w:color="auto"/>
        <w:bottom w:val="none" w:sz="0" w:space="0" w:color="auto"/>
        <w:right w:val="none" w:sz="0" w:space="0" w:color="auto"/>
      </w:divBdr>
    </w:div>
    <w:div w:id="1263294342">
      <w:bodyDiv w:val="1"/>
      <w:marLeft w:val="0"/>
      <w:marRight w:val="0"/>
      <w:marTop w:val="0"/>
      <w:marBottom w:val="0"/>
      <w:divBdr>
        <w:top w:val="none" w:sz="0" w:space="0" w:color="auto"/>
        <w:left w:val="none" w:sz="0" w:space="0" w:color="auto"/>
        <w:bottom w:val="none" w:sz="0" w:space="0" w:color="auto"/>
        <w:right w:val="none" w:sz="0" w:space="0" w:color="auto"/>
      </w:divBdr>
    </w:div>
    <w:div w:id="1269122456">
      <w:bodyDiv w:val="1"/>
      <w:marLeft w:val="0"/>
      <w:marRight w:val="0"/>
      <w:marTop w:val="0"/>
      <w:marBottom w:val="0"/>
      <w:divBdr>
        <w:top w:val="none" w:sz="0" w:space="0" w:color="auto"/>
        <w:left w:val="none" w:sz="0" w:space="0" w:color="auto"/>
        <w:bottom w:val="none" w:sz="0" w:space="0" w:color="auto"/>
        <w:right w:val="none" w:sz="0" w:space="0" w:color="auto"/>
      </w:divBdr>
    </w:div>
    <w:div w:id="1286616170">
      <w:bodyDiv w:val="1"/>
      <w:marLeft w:val="0"/>
      <w:marRight w:val="0"/>
      <w:marTop w:val="0"/>
      <w:marBottom w:val="0"/>
      <w:divBdr>
        <w:top w:val="none" w:sz="0" w:space="0" w:color="auto"/>
        <w:left w:val="none" w:sz="0" w:space="0" w:color="auto"/>
        <w:bottom w:val="none" w:sz="0" w:space="0" w:color="auto"/>
        <w:right w:val="none" w:sz="0" w:space="0" w:color="auto"/>
      </w:divBdr>
    </w:div>
    <w:div w:id="1287855874">
      <w:bodyDiv w:val="1"/>
      <w:marLeft w:val="0"/>
      <w:marRight w:val="0"/>
      <w:marTop w:val="0"/>
      <w:marBottom w:val="0"/>
      <w:divBdr>
        <w:top w:val="none" w:sz="0" w:space="0" w:color="auto"/>
        <w:left w:val="none" w:sz="0" w:space="0" w:color="auto"/>
        <w:bottom w:val="none" w:sz="0" w:space="0" w:color="auto"/>
        <w:right w:val="none" w:sz="0" w:space="0" w:color="auto"/>
      </w:divBdr>
    </w:div>
    <w:div w:id="1321613832">
      <w:bodyDiv w:val="1"/>
      <w:marLeft w:val="0"/>
      <w:marRight w:val="0"/>
      <w:marTop w:val="0"/>
      <w:marBottom w:val="0"/>
      <w:divBdr>
        <w:top w:val="none" w:sz="0" w:space="0" w:color="auto"/>
        <w:left w:val="none" w:sz="0" w:space="0" w:color="auto"/>
        <w:bottom w:val="none" w:sz="0" w:space="0" w:color="auto"/>
        <w:right w:val="none" w:sz="0" w:space="0" w:color="auto"/>
      </w:divBdr>
    </w:div>
    <w:div w:id="1340962765">
      <w:bodyDiv w:val="1"/>
      <w:marLeft w:val="0"/>
      <w:marRight w:val="0"/>
      <w:marTop w:val="0"/>
      <w:marBottom w:val="0"/>
      <w:divBdr>
        <w:top w:val="none" w:sz="0" w:space="0" w:color="auto"/>
        <w:left w:val="none" w:sz="0" w:space="0" w:color="auto"/>
        <w:bottom w:val="none" w:sz="0" w:space="0" w:color="auto"/>
        <w:right w:val="none" w:sz="0" w:space="0" w:color="auto"/>
      </w:divBdr>
    </w:div>
    <w:div w:id="1354502566">
      <w:bodyDiv w:val="1"/>
      <w:marLeft w:val="0"/>
      <w:marRight w:val="0"/>
      <w:marTop w:val="0"/>
      <w:marBottom w:val="0"/>
      <w:divBdr>
        <w:top w:val="none" w:sz="0" w:space="0" w:color="auto"/>
        <w:left w:val="none" w:sz="0" w:space="0" w:color="auto"/>
        <w:bottom w:val="none" w:sz="0" w:space="0" w:color="auto"/>
        <w:right w:val="none" w:sz="0" w:space="0" w:color="auto"/>
      </w:divBdr>
    </w:div>
    <w:div w:id="1372538703">
      <w:bodyDiv w:val="1"/>
      <w:marLeft w:val="0"/>
      <w:marRight w:val="0"/>
      <w:marTop w:val="0"/>
      <w:marBottom w:val="0"/>
      <w:divBdr>
        <w:top w:val="none" w:sz="0" w:space="0" w:color="auto"/>
        <w:left w:val="none" w:sz="0" w:space="0" w:color="auto"/>
        <w:bottom w:val="none" w:sz="0" w:space="0" w:color="auto"/>
        <w:right w:val="none" w:sz="0" w:space="0" w:color="auto"/>
      </w:divBdr>
    </w:div>
    <w:div w:id="1378705761">
      <w:bodyDiv w:val="1"/>
      <w:marLeft w:val="0"/>
      <w:marRight w:val="0"/>
      <w:marTop w:val="0"/>
      <w:marBottom w:val="0"/>
      <w:divBdr>
        <w:top w:val="none" w:sz="0" w:space="0" w:color="auto"/>
        <w:left w:val="none" w:sz="0" w:space="0" w:color="auto"/>
        <w:bottom w:val="none" w:sz="0" w:space="0" w:color="auto"/>
        <w:right w:val="none" w:sz="0" w:space="0" w:color="auto"/>
      </w:divBdr>
    </w:div>
    <w:div w:id="1386022860">
      <w:bodyDiv w:val="1"/>
      <w:marLeft w:val="0"/>
      <w:marRight w:val="0"/>
      <w:marTop w:val="0"/>
      <w:marBottom w:val="0"/>
      <w:divBdr>
        <w:top w:val="none" w:sz="0" w:space="0" w:color="auto"/>
        <w:left w:val="none" w:sz="0" w:space="0" w:color="auto"/>
        <w:bottom w:val="none" w:sz="0" w:space="0" w:color="auto"/>
        <w:right w:val="none" w:sz="0" w:space="0" w:color="auto"/>
      </w:divBdr>
    </w:div>
    <w:div w:id="1409959890">
      <w:bodyDiv w:val="1"/>
      <w:marLeft w:val="0"/>
      <w:marRight w:val="0"/>
      <w:marTop w:val="0"/>
      <w:marBottom w:val="0"/>
      <w:divBdr>
        <w:top w:val="none" w:sz="0" w:space="0" w:color="auto"/>
        <w:left w:val="none" w:sz="0" w:space="0" w:color="auto"/>
        <w:bottom w:val="none" w:sz="0" w:space="0" w:color="auto"/>
        <w:right w:val="none" w:sz="0" w:space="0" w:color="auto"/>
      </w:divBdr>
    </w:div>
    <w:div w:id="1412389530">
      <w:bodyDiv w:val="1"/>
      <w:marLeft w:val="0"/>
      <w:marRight w:val="0"/>
      <w:marTop w:val="0"/>
      <w:marBottom w:val="0"/>
      <w:divBdr>
        <w:top w:val="none" w:sz="0" w:space="0" w:color="auto"/>
        <w:left w:val="none" w:sz="0" w:space="0" w:color="auto"/>
        <w:bottom w:val="none" w:sz="0" w:space="0" w:color="auto"/>
        <w:right w:val="none" w:sz="0" w:space="0" w:color="auto"/>
      </w:divBdr>
    </w:div>
    <w:div w:id="1414741360">
      <w:bodyDiv w:val="1"/>
      <w:marLeft w:val="0"/>
      <w:marRight w:val="0"/>
      <w:marTop w:val="0"/>
      <w:marBottom w:val="0"/>
      <w:divBdr>
        <w:top w:val="none" w:sz="0" w:space="0" w:color="auto"/>
        <w:left w:val="none" w:sz="0" w:space="0" w:color="auto"/>
        <w:bottom w:val="none" w:sz="0" w:space="0" w:color="auto"/>
        <w:right w:val="none" w:sz="0" w:space="0" w:color="auto"/>
      </w:divBdr>
    </w:div>
    <w:div w:id="1422409807">
      <w:bodyDiv w:val="1"/>
      <w:marLeft w:val="0"/>
      <w:marRight w:val="0"/>
      <w:marTop w:val="0"/>
      <w:marBottom w:val="0"/>
      <w:divBdr>
        <w:top w:val="none" w:sz="0" w:space="0" w:color="auto"/>
        <w:left w:val="none" w:sz="0" w:space="0" w:color="auto"/>
        <w:bottom w:val="none" w:sz="0" w:space="0" w:color="auto"/>
        <w:right w:val="none" w:sz="0" w:space="0" w:color="auto"/>
      </w:divBdr>
    </w:div>
    <w:div w:id="1437871487">
      <w:bodyDiv w:val="1"/>
      <w:marLeft w:val="0"/>
      <w:marRight w:val="0"/>
      <w:marTop w:val="0"/>
      <w:marBottom w:val="0"/>
      <w:divBdr>
        <w:top w:val="none" w:sz="0" w:space="0" w:color="auto"/>
        <w:left w:val="none" w:sz="0" w:space="0" w:color="auto"/>
        <w:bottom w:val="none" w:sz="0" w:space="0" w:color="auto"/>
        <w:right w:val="none" w:sz="0" w:space="0" w:color="auto"/>
      </w:divBdr>
    </w:div>
    <w:div w:id="1478297560">
      <w:bodyDiv w:val="1"/>
      <w:marLeft w:val="0"/>
      <w:marRight w:val="0"/>
      <w:marTop w:val="0"/>
      <w:marBottom w:val="0"/>
      <w:divBdr>
        <w:top w:val="none" w:sz="0" w:space="0" w:color="auto"/>
        <w:left w:val="none" w:sz="0" w:space="0" w:color="auto"/>
        <w:bottom w:val="none" w:sz="0" w:space="0" w:color="auto"/>
        <w:right w:val="none" w:sz="0" w:space="0" w:color="auto"/>
      </w:divBdr>
    </w:div>
    <w:div w:id="1478910871">
      <w:bodyDiv w:val="1"/>
      <w:marLeft w:val="0"/>
      <w:marRight w:val="0"/>
      <w:marTop w:val="0"/>
      <w:marBottom w:val="0"/>
      <w:divBdr>
        <w:top w:val="none" w:sz="0" w:space="0" w:color="auto"/>
        <w:left w:val="none" w:sz="0" w:space="0" w:color="auto"/>
        <w:bottom w:val="none" w:sz="0" w:space="0" w:color="auto"/>
        <w:right w:val="none" w:sz="0" w:space="0" w:color="auto"/>
      </w:divBdr>
    </w:div>
    <w:div w:id="1484546974">
      <w:bodyDiv w:val="1"/>
      <w:marLeft w:val="0"/>
      <w:marRight w:val="0"/>
      <w:marTop w:val="0"/>
      <w:marBottom w:val="0"/>
      <w:divBdr>
        <w:top w:val="none" w:sz="0" w:space="0" w:color="auto"/>
        <w:left w:val="none" w:sz="0" w:space="0" w:color="auto"/>
        <w:bottom w:val="none" w:sz="0" w:space="0" w:color="auto"/>
        <w:right w:val="none" w:sz="0" w:space="0" w:color="auto"/>
      </w:divBdr>
    </w:div>
    <w:div w:id="1525902476">
      <w:bodyDiv w:val="1"/>
      <w:marLeft w:val="0"/>
      <w:marRight w:val="0"/>
      <w:marTop w:val="0"/>
      <w:marBottom w:val="0"/>
      <w:divBdr>
        <w:top w:val="none" w:sz="0" w:space="0" w:color="auto"/>
        <w:left w:val="none" w:sz="0" w:space="0" w:color="auto"/>
        <w:bottom w:val="none" w:sz="0" w:space="0" w:color="auto"/>
        <w:right w:val="none" w:sz="0" w:space="0" w:color="auto"/>
      </w:divBdr>
    </w:div>
    <w:div w:id="1554777251">
      <w:bodyDiv w:val="1"/>
      <w:marLeft w:val="0"/>
      <w:marRight w:val="0"/>
      <w:marTop w:val="0"/>
      <w:marBottom w:val="0"/>
      <w:divBdr>
        <w:top w:val="none" w:sz="0" w:space="0" w:color="auto"/>
        <w:left w:val="none" w:sz="0" w:space="0" w:color="auto"/>
        <w:bottom w:val="none" w:sz="0" w:space="0" w:color="auto"/>
        <w:right w:val="none" w:sz="0" w:space="0" w:color="auto"/>
      </w:divBdr>
    </w:div>
    <w:div w:id="1577201124">
      <w:bodyDiv w:val="1"/>
      <w:marLeft w:val="0"/>
      <w:marRight w:val="0"/>
      <w:marTop w:val="0"/>
      <w:marBottom w:val="0"/>
      <w:divBdr>
        <w:top w:val="none" w:sz="0" w:space="0" w:color="auto"/>
        <w:left w:val="none" w:sz="0" w:space="0" w:color="auto"/>
        <w:bottom w:val="none" w:sz="0" w:space="0" w:color="auto"/>
        <w:right w:val="none" w:sz="0" w:space="0" w:color="auto"/>
      </w:divBdr>
    </w:div>
    <w:div w:id="1636789464">
      <w:bodyDiv w:val="1"/>
      <w:marLeft w:val="0"/>
      <w:marRight w:val="0"/>
      <w:marTop w:val="0"/>
      <w:marBottom w:val="0"/>
      <w:divBdr>
        <w:top w:val="none" w:sz="0" w:space="0" w:color="auto"/>
        <w:left w:val="none" w:sz="0" w:space="0" w:color="auto"/>
        <w:bottom w:val="none" w:sz="0" w:space="0" w:color="auto"/>
        <w:right w:val="none" w:sz="0" w:space="0" w:color="auto"/>
      </w:divBdr>
    </w:div>
    <w:div w:id="1637104338">
      <w:bodyDiv w:val="1"/>
      <w:marLeft w:val="0"/>
      <w:marRight w:val="0"/>
      <w:marTop w:val="0"/>
      <w:marBottom w:val="0"/>
      <w:divBdr>
        <w:top w:val="none" w:sz="0" w:space="0" w:color="auto"/>
        <w:left w:val="none" w:sz="0" w:space="0" w:color="auto"/>
        <w:bottom w:val="none" w:sz="0" w:space="0" w:color="auto"/>
        <w:right w:val="none" w:sz="0" w:space="0" w:color="auto"/>
      </w:divBdr>
    </w:div>
    <w:div w:id="1725445443">
      <w:bodyDiv w:val="1"/>
      <w:marLeft w:val="0"/>
      <w:marRight w:val="0"/>
      <w:marTop w:val="0"/>
      <w:marBottom w:val="0"/>
      <w:divBdr>
        <w:top w:val="none" w:sz="0" w:space="0" w:color="auto"/>
        <w:left w:val="none" w:sz="0" w:space="0" w:color="auto"/>
        <w:bottom w:val="none" w:sz="0" w:space="0" w:color="auto"/>
        <w:right w:val="none" w:sz="0" w:space="0" w:color="auto"/>
      </w:divBdr>
    </w:div>
    <w:div w:id="1729573278">
      <w:bodyDiv w:val="1"/>
      <w:marLeft w:val="0"/>
      <w:marRight w:val="0"/>
      <w:marTop w:val="0"/>
      <w:marBottom w:val="0"/>
      <w:divBdr>
        <w:top w:val="none" w:sz="0" w:space="0" w:color="auto"/>
        <w:left w:val="none" w:sz="0" w:space="0" w:color="auto"/>
        <w:bottom w:val="none" w:sz="0" w:space="0" w:color="auto"/>
        <w:right w:val="none" w:sz="0" w:space="0" w:color="auto"/>
      </w:divBdr>
    </w:div>
    <w:div w:id="1736127890">
      <w:bodyDiv w:val="1"/>
      <w:marLeft w:val="0"/>
      <w:marRight w:val="0"/>
      <w:marTop w:val="0"/>
      <w:marBottom w:val="0"/>
      <w:divBdr>
        <w:top w:val="none" w:sz="0" w:space="0" w:color="auto"/>
        <w:left w:val="none" w:sz="0" w:space="0" w:color="auto"/>
        <w:bottom w:val="none" w:sz="0" w:space="0" w:color="auto"/>
        <w:right w:val="none" w:sz="0" w:space="0" w:color="auto"/>
      </w:divBdr>
    </w:div>
    <w:div w:id="1764956313">
      <w:bodyDiv w:val="1"/>
      <w:marLeft w:val="0"/>
      <w:marRight w:val="0"/>
      <w:marTop w:val="0"/>
      <w:marBottom w:val="0"/>
      <w:divBdr>
        <w:top w:val="none" w:sz="0" w:space="0" w:color="auto"/>
        <w:left w:val="none" w:sz="0" w:space="0" w:color="auto"/>
        <w:bottom w:val="none" w:sz="0" w:space="0" w:color="auto"/>
        <w:right w:val="none" w:sz="0" w:space="0" w:color="auto"/>
      </w:divBdr>
    </w:div>
    <w:div w:id="1766462312">
      <w:bodyDiv w:val="1"/>
      <w:marLeft w:val="0"/>
      <w:marRight w:val="0"/>
      <w:marTop w:val="0"/>
      <w:marBottom w:val="0"/>
      <w:divBdr>
        <w:top w:val="none" w:sz="0" w:space="0" w:color="auto"/>
        <w:left w:val="none" w:sz="0" w:space="0" w:color="auto"/>
        <w:bottom w:val="none" w:sz="0" w:space="0" w:color="auto"/>
        <w:right w:val="none" w:sz="0" w:space="0" w:color="auto"/>
      </w:divBdr>
    </w:div>
    <w:div w:id="1808090547">
      <w:bodyDiv w:val="1"/>
      <w:marLeft w:val="0"/>
      <w:marRight w:val="0"/>
      <w:marTop w:val="0"/>
      <w:marBottom w:val="0"/>
      <w:divBdr>
        <w:top w:val="none" w:sz="0" w:space="0" w:color="auto"/>
        <w:left w:val="none" w:sz="0" w:space="0" w:color="auto"/>
        <w:bottom w:val="none" w:sz="0" w:space="0" w:color="auto"/>
        <w:right w:val="none" w:sz="0" w:space="0" w:color="auto"/>
      </w:divBdr>
    </w:div>
    <w:div w:id="1839226480">
      <w:bodyDiv w:val="1"/>
      <w:marLeft w:val="0"/>
      <w:marRight w:val="0"/>
      <w:marTop w:val="0"/>
      <w:marBottom w:val="0"/>
      <w:divBdr>
        <w:top w:val="none" w:sz="0" w:space="0" w:color="auto"/>
        <w:left w:val="none" w:sz="0" w:space="0" w:color="auto"/>
        <w:bottom w:val="none" w:sz="0" w:space="0" w:color="auto"/>
        <w:right w:val="none" w:sz="0" w:space="0" w:color="auto"/>
      </w:divBdr>
    </w:div>
    <w:div w:id="1845437454">
      <w:bodyDiv w:val="1"/>
      <w:marLeft w:val="0"/>
      <w:marRight w:val="0"/>
      <w:marTop w:val="0"/>
      <w:marBottom w:val="0"/>
      <w:divBdr>
        <w:top w:val="none" w:sz="0" w:space="0" w:color="auto"/>
        <w:left w:val="none" w:sz="0" w:space="0" w:color="auto"/>
        <w:bottom w:val="none" w:sz="0" w:space="0" w:color="auto"/>
        <w:right w:val="none" w:sz="0" w:space="0" w:color="auto"/>
      </w:divBdr>
    </w:div>
    <w:div w:id="1861966836">
      <w:bodyDiv w:val="1"/>
      <w:marLeft w:val="0"/>
      <w:marRight w:val="0"/>
      <w:marTop w:val="0"/>
      <w:marBottom w:val="0"/>
      <w:divBdr>
        <w:top w:val="none" w:sz="0" w:space="0" w:color="auto"/>
        <w:left w:val="none" w:sz="0" w:space="0" w:color="auto"/>
        <w:bottom w:val="none" w:sz="0" w:space="0" w:color="auto"/>
        <w:right w:val="none" w:sz="0" w:space="0" w:color="auto"/>
      </w:divBdr>
    </w:div>
    <w:div w:id="1925871171">
      <w:bodyDiv w:val="1"/>
      <w:marLeft w:val="0"/>
      <w:marRight w:val="0"/>
      <w:marTop w:val="0"/>
      <w:marBottom w:val="0"/>
      <w:divBdr>
        <w:top w:val="none" w:sz="0" w:space="0" w:color="auto"/>
        <w:left w:val="none" w:sz="0" w:space="0" w:color="auto"/>
        <w:bottom w:val="none" w:sz="0" w:space="0" w:color="auto"/>
        <w:right w:val="none" w:sz="0" w:space="0" w:color="auto"/>
      </w:divBdr>
    </w:div>
    <w:div w:id="1973753295">
      <w:bodyDiv w:val="1"/>
      <w:marLeft w:val="0"/>
      <w:marRight w:val="0"/>
      <w:marTop w:val="0"/>
      <w:marBottom w:val="0"/>
      <w:divBdr>
        <w:top w:val="none" w:sz="0" w:space="0" w:color="auto"/>
        <w:left w:val="none" w:sz="0" w:space="0" w:color="auto"/>
        <w:bottom w:val="none" w:sz="0" w:space="0" w:color="auto"/>
        <w:right w:val="none" w:sz="0" w:space="0" w:color="auto"/>
      </w:divBdr>
    </w:div>
    <w:div w:id="1977908491">
      <w:bodyDiv w:val="1"/>
      <w:marLeft w:val="0"/>
      <w:marRight w:val="0"/>
      <w:marTop w:val="0"/>
      <w:marBottom w:val="0"/>
      <w:divBdr>
        <w:top w:val="none" w:sz="0" w:space="0" w:color="auto"/>
        <w:left w:val="none" w:sz="0" w:space="0" w:color="auto"/>
        <w:bottom w:val="none" w:sz="0" w:space="0" w:color="auto"/>
        <w:right w:val="none" w:sz="0" w:space="0" w:color="auto"/>
      </w:divBdr>
    </w:div>
    <w:div w:id="2004157676">
      <w:bodyDiv w:val="1"/>
      <w:marLeft w:val="0"/>
      <w:marRight w:val="0"/>
      <w:marTop w:val="0"/>
      <w:marBottom w:val="0"/>
      <w:divBdr>
        <w:top w:val="none" w:sz="0" w:space="0" w:color="auto"/>
        <w:left w:val="none" w:sz="0" w:space="0" w:color="auto"/>
        <w:bottom w:val="none" w:sz="0" w:space="0" w:color="auto"/>
        <w:right w:val="none" w:sz="0" w:space="0" w:color="auto"/>
      </w:divBdr>
    </w:div>
    <w:div w:id="2009942037">
      <w:bodyDiv w:val="1"/>
      <w:marLeft w:val="0"/>
      <w:marRight w:val="0"/>
      <w:marTop w:val="0"/>
      <w:marBottom w:val="0"/>
      <w:divBdr>
        <w:top w:val="none" w:sz="0" w:space="0" w:color="auto"/>
        <w:left w:val="none" w:sz="0" w:space="0" w:color="auto"/>
        <w:bottom w:val="none" w:sz="0" w:space="0" w:color="auto"/>
        <w:right w:val="none" w:sz="0" w:space="0" w:color="auto"/>
      </w:divBdr>
    </w:div>
    <w:div w:id="2015572867">
      <w:bodyDiv w:val="1"/>
      <w:marLeft w:val="0"/>
      <w:marRight w:val="0"/>
      <w:marTop w:val="0"/>
      <w:marBottom w:val="0"/>
      <w:divBdr>
        <w:top w:val="none" w:sz="0" w:space="0" w:color="auto"/>
        <w:left w:val="none" w:sz="0" w:space="0" w:color="auto"/>
        <w:bottom w:val="none" w:sz="0" w:space="0" w:color="auto"/>
        <w:right w:val="none" w:sz="0" w:space="0" w:color="auto"/>
      </w:divBdr>
    </w:div>
    <w:div w:id="2017270443">
      <w:bodyDiv w:val="1"/>
      <w:marLeft w:val="0"/>
      <w:marRight w:val="0"/>
      <w:marTop w:val="0"/>
      <w:marBottom w:val="0"/>
      <w:divBdr>
        <w:top w:val="none" w:sz="0" w:space="0" w:color="auto"/>
        <w:left w:val="none" w:sz="0" w:space="0" w:color="auto"/>
        <w:bottom w:val="none" w:sz="0" w:space="0" w:color="auto"/>
        <w:right w:val="none" w:sz="0" w:space="0" w:color="auto"/>
      </w:divBdr>
    </w:div>
    <w:div w:id="2020621358">
      <w:bodyDiv w:val="1"/>
      <w:marLeft w:val="0"/>
      <w:marRight w:val="0"/>
      <w:marTop w:val="0"/>
      <w:marBottom w:val="0"/>
      <w:divBdr>
        <w:top w:val="none" w:sz="0" w:space="0" w:color="auto"/>
        <w:left w:val="none" w:sz="0" w:space="0" w:color="auto"/>
        <w:bottom w:val="none" w:sz="0" w:space="0" w:color="auto"/>
        <w:right w:val="none" w:sz="0" w:space="0" w:color="auto"/>
      </w:divBdr>
    </w:div>
    <w:div w:id="2022735438">
      <w:bodyDiv w:val="1"/>
      <w:marLeft w:val="0"/>
      <w:marRight w:val="0"/>
      <w:marTop w:val="0"/>
      <w:marBottom w:val="0"/>
      <w:divBdr>
        <w:top w:val="none" w:sz="0" w:space="0" w:color="auto"/>
        <w:left w:val="none" w:sz="0" w:space="0" w:color="auto"/>
        <w:bottom w:val="none" w:sz="0" w:space="0" w:color="auto"/>
        <w:right w:val="none" w:sz="0" w:space="0" w:color="auto"/>
      </w:divBdr>
    </w:div>
    <w:div w:id="2038195043">
      <w:bodyDiv w:val="1"/>
      <w:marLeft w:val="0"/>
      <w:marRight w:val="0"/>
      <w:marTop w:val="0"/>
      <w:marBottom w:val="0"/>
      <w:divBdr>
        <w:top w:val="none" w:sz="0" w:space="0" w:color="auto"/>
        <w:left w:val="none" w:sz="0" w:space="0" w:color="auto"/>
        <w:bottom w:val="none" w:sz="0" w:space="0" w:color="auto"/>
        <w:right w:val="none" w:sz="0" w:space="0" w:color="auto"/>
      </w:divBdr>
    </w:div>
    <w:div w:id="2047832562">
      <w:bodyDiv w:val="1"/>
      <w:marLeft w:val="0"/>
      <w:marRight w:val="0"/>
      <w:marTop w:val="0"/>
      <w:marBottom w:val="0"/>
      <w:divBdr>
        <w:top w:val="none" w:sz="0" w:space="0" w:color="auto"/>
        <w:left w:val="none" w:sz="0" w:space="0" w:color="auto"/>
        <w:bottom w:val="none" w:sz="0" w:space="0" w:color="auto"/>
        <w:right w:val="none" w:sz="0" w:space="0" w:color="auto"/>
      </w:divBdr>
    </w:div>
    <w:div w:id="2065329482">
      <w:bodyDiv w:val="1"/>
      <w:marLeft w:val="0"/>
      <w:marRight w:val="0"/>
      <w:marTop w:val="0"/>
      <w:marBottom w:val="0"/>
      <w:divBdr>
        <w:top w:val="none" w:sz="0" w:space="0" w:color="auto"/>
        <w:left w:val="none" w:sz="0" w:space="0" w:color="auto"/>
        <w:bottom w:val="none" w:sz="0" w:space="0" w:color="auto"/>
        <w:right w:val="none" w:sz="0" w:space="0" w:color="auto"/>
      </w:divBdr>
    </w:div>
    <w:div w:id="2104373603">
      <w:bodyDiv w:val="1"/>
      <w:marLeft w:val="0"/>
      <w:marRight w:val="0"/>
      <w:marTop w:val="0"/>
      <w:marBottom w:val="0"/>
      <w:divBdr>
        <w:top w:val="none" w:sz="0" w:space="0" w:color="auto"/>
        <w:left w:val="none" w:sz="0" w:space="0" w:color="auto"/>
        <w:bottom w:val="none" w:sz="0" w:space="0" w:color="auto"/>
        <w:right w:val="none" w:sz="0" w:space="0" w:color="auto"/>
      </w:divBdr>
    </w:div>
    <w:div w:id="2109695204">
      <w:bodyDiv w:val="1"/>
      <w:marLeft w:val="0"/>
      <w:marRight w:val="0"/>
      <w:marTop w:val="0"/>
      <w:marBottom w:val="0"/>
      <w:divBdr>
        <w:top w:val="none" w:sz="0" w:space="0" w:color="auto"/>
        <w:left w:val="none" w:sz="0" w:space="0" w:color="auto"/>
        <w:bottom w:val="none" w:sz="0" w:space="0" w:color="auto"/>
        <w:right w:val="none" w:sz="0" w:space="0" w:color="auto"/>
      </w:divBdr>
    </w:div>
    <w:div w:id="2111242708">
      <w:bodyDiv w:val="1"/>
      <w:marLeft w:val="0"/>
      <w:marRight w:val="0"/>
      <w:marTop w:val="0"/>
      <w:marBottom w:val="0"/>
      <w:divBdr>
        <w:top w:val="none" w:sz="0" w:space="0" w:color="auto"/>
        <w:left w:val="none" w:sz="0" w:space="0" w:color="auto"/>
        <w:bottom w:val="none" w:sz="0" w:space="0" w:color="auto"/>
        <w:right w:val="none" w:sz="0" w:space="0" w:color="auto"/>
      </w:divBdr>
    </w:div>
    <w:div w:id="2123500154">
      <w:bodyDiv w:val="1"/>
      <w:marLeft w:val="0"/>
      <w:marRight w:val="0"/>
      <w:marTop w:val="0"/>
      <w:marBottom w:val="0"/>
      <w:divBdr>
        <w:top w:val="none" w:sz="0" w:space="0" w:color="auto"/>
        <w:left w:val="none" w:sz="0" w:space="0" w:color="auto"/>
        <w:bottom w:val="none" w:sz="0" w:space="0" w:color="auto"/>
        <w:right w:val="none" w:sz="0" w:space="0" w:color="auto"/>
      </w:divBdr>
    </w:div>
    <w:div w:id="213687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d\Documents\Templates\Office\Forms%20ATG\Form%203000-70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edBy xmlns="01f66081-f53a-4bae-94b3-f5377df591d0" xsi:nil="true"/>
    <WhatChanged_x003f_ xmlns="01f66081-f53a-4bae-94b3-f5377df591d0" xsi:nil="true"/>
    <Approved xmlns="01f66081-f53a-4bae-94b3-f5377df591d0">true</Approved>
    <FormSeries xmlns="01f66081-f53a-4bae-94b3-f5377df591d0" xsi:nil="true"/>
    <ApprovalDate xmlns="01f66081-f53a-4bae-94b3-f5377df591d0" xsi:nil="true"/>
    <RD xmlns="01f66081-f53a-4bae-94b3-f5377df591d0" xsi:nil="true"/>
    <FormNo_x002e_ xmlns="01f66081-f53a-4bae-94b3-f5377df591d0" xsi:nil="true"/>
    <PreviousVersion xmlns="01f66081-f53a-4bae-94b3-f5377df591d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64A5E0A2F29EA45B8AA107ECACB62EC" ma:contentTypeVersion="18" ma:contentTypeDescription="Create a new document." ma:contentTypeScope="" ma:versionID="7e13d17bf08c6ba090ec0f442def15f7">
  <xsd:schema xmlns:xsd="http://www.w3.org/2001/XMLSchema" xmlns:xs="http://www.w3.org/2001/XMLSchema" xmlns:p="http://schemas.microsoft.com/office/2006/metadata/properties" xmlns:ns2="01f66081-f53a-4bae-94b3-f5377df591d0" xmlns:ns3="dd1a8b1d-845a-4b30-8091-43eb8b06d9b7" targetNamespace="http://schemas.microsoft.com/office/2006/metadata/properties" ma:root="true" ma:fieldsID="f9725fd7eb6604fa4d95def60cb1e850" ns2:_="" ns3:_="">
    <xsd:import namespace="01f66081-f53a-4bae-94b3-f5377df591d0"/>
    <xsd:import namespace="dd1a8b1d-845a-4b30-8091-43eb8b06d9b7"/>
    <xsd:element name="properties">
      <xsd:complexType>
        <xsd:sequence>
          <xsd:element name="documentManagement">
            <xsd:complexType>
              <xsd:all>
                <xsd:element ref="ns2:FormSeries" minOccurs="0"/>
                <xsd:element ref="ns2:Approved" minOccurs="0"/>
                <xsd:element ref="ns2:ApprovedBy" minOccurs="0"/>
                <xsd:element ref="ns2:ApprovalDate" minOccurs="0"/>
                <xsd:element ref="ns2:WhatChanged_x003f_" minOccurs="0"/>
                <xsd:element ref="ns2:PreviousVersion"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FormNo_x002e_" minOccurs="0"/>
                <xsd:element ref="ns2: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66081-f53a-4bae-94b3-f5377df591d0" elementFormDefault="qualified">
    <xsd:import namespace="http://schemas.microsoft.com/office/2006/documentManagement/types"/>
    <xsd:import namespace="http://schemas.microsoft.com/office/infopath/2007/PartnerControls"/>
    <xsd:element name="FormSeries" ma:index="8" nillable="true" ma:displayName="Form Name" ma:description="The form series number from Corp Comm" ma:format="Dropdown" ma:internalName="FormSeries">
      <xsd:simpleType>
        <xsd:restriction base="dms:Text">
          <xsd:maxLength value="255"/>
        </xsd:restriction>
      </xsd:simpleType>
    </xsd:element>
    <xsd:element name="Approved" ma:index="9" nillable="true" ma:displayName="Approved" ma:default="1" ma:description="Is this document approved?" ma:format="Dropdown" ma:internalName="Approved">
      <xsd:simpleType>
        <xsd:restriction base="dms:Boolean"/>
      </xsd:simpleType>
    </xsd:element>
    <xsd:element name="ApprovedBy" ma:index="10" nillable="true" ma:displayName="Approved By" ma:description="Who approved this document?" ma:format="Dropdown" ma:internalName="ApprovedBy">
      <xsd:simpleType>
        <xsd:restriction base="dms:Text">
          <xsd:maxLength value="255"/>
        </xsd:restriction>
      </xsd:simpleType>
    </xsd:element>
    <xsd:element name="ApprovalDate" ma:index="11" nillable="true" ma:displayName="Approval Date" ma:format="DateOnly" ma:internalName="ApprovalDate">
      <xsd:simpleType>
        <xsd:restriction base="dms:DateTime"/>
      </xsd:simpleType>
    </xsd:element>
    <xsd:element name="WhatChanged_x003f_" ma:index="12" nillable="true" ma:displayName="What Changed?" ma:description="What has changed in the new version of the document." ma:format="Dropdown" ma:internalName="WhatChanged_x003f_">
      <xsd:simpleType>
        <xsd:restriction base="dms:Note">
          <xsd:maxLength value="255"/>
        </xsd:restriction>
      </xsd:simpleType>
    </xsd:element>
    <xsd:element name="PreviousVersion" ma:index="13" nillable="true" ma:displayName="Previous Version" ma:description="What is the previous version of this document?" ma:format="Dropdown" ma:internalName="PreviousVersion">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FormNo_x002e_" ma:index="24" nillable="true" ma:displayName="Form No." ma:description="Form Number" ma:format="Dropdown" ma:internalName="FormNo_x002e_">
      <xsd:simpleType>
        <xsd:restriction base="dms:Text">
          <xsd:maxLength value="255"/>
        </xsd:restriction>
      </xsd:simpleType>
    </xsd:element>
    <xsd:element name="RD" ma:index="25" nillable="true" ma:displayName="RD" ma:format="DateOnly" ma:internalName="R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1a8b1d-845a-4b30-8091-43eb8b06d9b7"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BDD759-58B0-4E0E-AED5-771DEAF94AC8}">
  <ds:schemaRefs>
    <ds:schemaRef ds:uri="http://schemas.microsoft.com/sharepoint/v3/contenttype/forms"/>
  </ds:schemaRefs>
</ds:datastoreItem>
</file>

<file path=customXml/itemProps2.xml><?xml version="1.0" encoding="utf-8"?>
<ds:datastoreItem xmlns:ds="http://schemas.openxmlformats.org/officeDocument/2006/customXml" ds:itemID="{D58F1165-47DA-4082-9070-7C6FC60DB991}">
  <ds:schemaRefs>
    <ds:schemaRef ds:uri="http://schemas.microsoft.com/office/2006/metadata/properties"/>
    <ds:schemaRef ds:uri="http://schemas.microsoft.com/office/infopath/2007/PartnerControls"/>
    <ds:schemaRef ds:uri="01f66081-f53a-4bae-94b3-f5377df591d0"/>
  </ds:schemaRefs>
</ds:datastoreItem>
</file>

<file path=customXml/itemProps3.xml><?xml version="1.0" encoding="utf-8"?>
<ds:datastoreItem xmlns:ds="http://schemas.openxmlformats.org/officeDocument/2006/customXml" ds:itemID="{6F40C851-E8C8-4625-9973-38B2D4BF717E}">
  <ds:schemaRefs>
    <ds:schemaRef ds:uri="http://schemas.openxmlformats.org/officeDocument/2006/bibliography"/>
  </ds:schemaRefs>
</ds:datastoreItem>
</file>

<file path=customXml/itemProps4.xml><?xml version="1.0" encoding="utf-8"?>
<ds:datastoreItem xmlns:ds="http://schemas.openxmlformats.org/officeDocument/2006/customXml" ds:itemID="{065CA3CD-0616-491F-B77A-2E4B46527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66081-f53a-4bae-94b3-f5377df591d0"/>
    <ds:schemaRef ds:uri="dd1a8b1d-845a-4b30-8091-43eb8b06d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 3000-7000.dotx</Template>
  <TotalTime>47</TotalTime>
  <Pages>10</Pages>
  <Words>4344</Words>
  <Characters>24766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Attorneys' Title</Company>
  <LinksUpToDate>false</LinksUpToDate>
  <CharactersWithSpaces>29052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Sudlow</dc:creator>
  <cp:lastModifiedBy>Jim Alvis</cp:lastModifiedBy>
  <cp:revision>32</cp:revision>
  <cp:lastPrinted>2023-06-22T14:24:00Z</cp:lastPrinted>
  <dcterms:created xsi:type="dcterms:W3CDTF">2023-07-03T16:26:00Z</dcterms:created>
  <dcterms:modified xsi:type="dcterms:W3CDTF">2023-10-04T18:57:00Z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0x010100E64A5E0A2F29EA45B8AA107ECACB62EC</vt:lpwstr>
  </property>
</Properties>
</file>